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sz w:val="32"/>
          <w:szCs w:val="32"/>
          <w:u w:val="none"/>
        </w:rPr>
      </w:pPr>
      <w:r>
        <w:rPr>
          <w:rFonts w:hint="eastAsia" w:ascii="黑体" w:hAnsi="黑体" w:eastAsia="黑体" w:cs="黑体"/>
          <w:sz w:val="32"/>
          <w:szCs w:val="32"/>
          <w:u w:val="none"/>
        </w:rPr>
        <w:t>附件</w:t>
      </w:r>
    </w:p>
    <w:p>
      <w:pPr>
        <w:spacing w:line="520" w:lineRule="exact"/>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响应文件</w:t>
      </w:r>
    </w:p>
    <w:p>
      <w:pPr>
        <w:spacing w:line="520" w:lineRule="exact"/>
        <w:jc w:val="left"/>
        <w:rPr>
          <w:rFonts w:ascii="仿宋" w:hAnsi="仿宋" w:eastAsia="仿宋" w:cs="仿宋"/>
          <w:sz w:val="32"/>
          <w:szCs w:val="32"/>
          <w:u w:val="none"/>
        </w:rPr>
      </w:pPr>
    </w:p>
    <w:p>
      <w:pPr>
        <w:spacing w:line="520" w:lineRule="exact"/>
        <w:jc w:val="left"/>
        <w:rPr>
          <w:rFonts w:ascii="仿宋" w:hAnsi="仿宋" w:eastAsia="仿宋" w:cs="仿宋"/>
          <w:sz w:val="32"/>
          <w:szCs w:val="32"/>
          <w:u w:val="none"/>
        </w:rPr>
      </w:pPr>
      <w:r>
        <w:rPr>
          <w:rFonts w:ascii="仿宋" w:hAnsi="仿宋" w:eastAsia="仿宋" w:cs="仿宋"/>
          <w:sz w:val="32"/>
          <w:szCs w:val="32"/>
          <w:u w:val="none"/>
        </w:rPr>
        <w:t>泉州市财政局：</w:t>
      </w:r>
    </w:p>
    <w:p>
      <w:pPr>
        <w:spacing w:line="520" w:lineRule="exact"/>
        <w:ind w:firstLine="640" w:firstLineChars="200"/>
        <w:jc w:val="left"/>
        <w:rPr>
          <w:rFonts w:ascii="仿宋" w:hAnsi="仿宋" w:eastAsia="仿宋" w:cs="仿宋"/>
          <w:sz w:val="32"/>
          <w:szCs w:val="32"/>
          <w:u w:val="none"/>
        </w:rPr>
      </w:pPr>
      <w:r>
        <w:rPr>
          <w:rFonts w:ascii="仿宋" w:hAnsi="仿宋" w:eastAsia="仿宋" w:cs="仿宋"/>
          <w:sz w:val="32"/>
          <w:szCs w:val="32"/>
          <w:u w:val="none"/>
        </w:rPr>
        <w:t>经研究，对</w:t>
      </w:r>
      <w:r>
        <w:rPr>
          <w:rFonts w:hint="eastAsia" w:ascii="仿宋" w:hAnsi="仿宋" w:eastAsia="仿宋" w:cs="仿宋"/>
          <w:sz w:val="32"/>
          <w:szCs w:val="32"/>
          <w:u w:val="none"/>
        </w:rPr>
        <w:t>贵局2025年10月1日-2027年9月30日常年法律顾问服务等项目响应</w:t>
      </w:r>
      <w:r>
        <w:rPr>
          <w:rFonts w:ascii="仿宋" w:hAnsi="仿宋" w:eastAsia="仿宋" w:cs="仿宋"/>
          <w:sz w:val="32"/>
          <w:szCs w:val="32"/>
          <w:u w:val="none"/>
        </w:rPr>
        <w:t>如下：</w:t>
      </w:r>
    </w:p>
    <w:p>
      <w:pPr>
        <w:spacing w:line="520" w:lineRule="exact"/>
        <w:ind w:firstLine="640" w:firstLineChars="200"/>
        <w:jc w:val="left"/>
        <w:rPr>
          <w:rFonts w:ascii="黑体" w:hAnsi="黑体" w:eastAsia="黑体" w:cs="黑体"/>
          <w:sz w:val="32"/>
          <w:szCs w:val="32"/>
          <w:u w:val="none"/>
        </w:rPr>
      </w:pPr>
      <w:r>
        <w:rPr>
          <w:rFonts w:hint="eastAsia" w:ascii="黑体" w:hAnsi="黑体" w:eastAsia="黑体" w:cs="黑体"/>
          <w:sz w:val="32"/>
          <w:szCs w:val="32"/>
          <w:u w:val="none"/>
        </w:rPr>
        <w:t>一、响应单位基本情况</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单位</w:t>
      </w:r>
      <w:r>
        <w:rPr>
          <w:rFonts w:ascii="仿宋" w:hAnsi="仿宋" w:eastAsia="仿宋" w:cs="仿宋"/>
          <w:sz w:val="32"/>
          <w:szCs w:val="32"/>
          <w:u w:val="none"/>
        </w:rPr>
        <w:t>名称：</w:t>
      </w: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left"/>
        <w:rPr>
          <w:rFonts w:ascii="仿宋" w:hAnsi="仿宋" w:eastAsia="仿宋" w:cs="仿宋"/>
          <w:sz w:val="32"/>
          <w:szCs w:val="32"/>
          <w:u w:val="none"/>
        </w:rPr>
      </w:pPr>
      <w:r>
        <w:rPr>
          <w:rFonts w:ascii="仿宋" w:hAnsi="仿宋" w:eastAsia="仿宋" w:cs="仿宋"/>
          <w:sz w:val="32"/>
          <w:szCs w:val="32"/>
          <w:u w:val="none"/>
        </w:rPr>
        <w:t>法定代表人</w:t>
      </w:r>
      <w:r>
        <w:rPr>
          <w:rFonts w:hint="eastAsia" w:ascii="仿宋" w:hAnsi="仿宋" w:eastAsia="仿宋" w:cs="仿宋"/>
          <w:sz w:val="32"/>
          <w:szCs w:val="32"/>
          <w:u w:val="none"/>
        </w:rPr>
        <w:t>（或负责人）</w:t>
      </w:r>
      <w:r>
        <w:rPr>
          <w:rFonts w:ascii="仿宋" w:hAnsi="仿宋" w:eastAsia="仿宋" w:cs="仿宋"/>
          <w:sz w:val="32"/>
          <w:szCs w:val="32"/>
          <w:u w:val="none"/>
        </w:rPr>
        <w:t>姓名：</w:t>
      </w:r>
      <w:r>
        <w:rPr>
          <w:rFonts w:hint="eastAsia" w:ascii="仿宋" w:hAnsi="仿宋" w:eastAsia="仿宋" w:cs="仿宋"/>
          <w:sz w:val="32"/>
          <w:szCs w:val="32"/>
          <w:u w:val="none"/>
          <w:lang w:val="en-US" w:eastAsia="zh-CN"/>
        </w:rPr>
        <w:t xml:space="preserve">      </w:t>
      </w:r>
      <w:r>
        <w:rPr>
          <w:rFonts w:ascii="仿宋" w:hAnsi="仿宋" w:eastAsia="仿宋" w:cs="仿宋"/>
          <w:sz w:val="32"/>
          <w:szCs w:val="32"/>
          <w:u w:val="none"/>
        </w:rPr>
        <w:t>职务：</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办公</w:t>
      </w:r>
      <w:r>
        <w:rPr>
          <w:rFonts w:ascii="仿宋" w:hAnsi="仿宋" w:eastAsia="仿宋" w:cs="仿宋"/>
          <w:sz w:val="32"/>
          <w:szCs w:val="32"/>
          <w:u w:val="none"/>
        </w:rPr>
        <w:t>地址：</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项目负责人</w:t>
      </w:r>
      <w:r>
        <w:rPr>
          <w:rFonts w:ascii="仿宋" w:hAnsi="仿宋" w:eastAsia="仿宋" w:cs="仿宋"/>
          <w:sz w:val="32"/>
          <w:szCs w:val="32"/>
          <w:u w:val="none"/>
        </w:rPr>
        <w:t>姓名：</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 xml:space="preserve">项目负责人在本单位的职务：           </w:t>
      </w:r>
      <w:r>
        <w:rPr>
          <w:rFonts w:ascii="仿宋" w:hAnsi="仿宋" w:eastAsia="仿宋" w:cs="仿宋"/>
          <w:sz w:val="32"/>
          <w:szCs w:val="32"/>
          <w:u w:val="none"/>
        </w:rPr>
        <w:t>联系电话：</w:t>
      </w: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left"/>
        <w:rPr>
          <w:rFonts w:ascii="黑体" w:hAnsi="黑体" w:eastAsia="黑体" w:cs="黑体"/>
          <w:sz w:val="32"/>
          <w:szCs w:val="32"/>
          <w:u w:val="none"/>
        </w:rPr>
      </w:pPr>
      <w:r>
        <w:rPr>
          <w:rFonts w:hint="eastAsia" w:ascii="黑体" w:hAnsi="黑体" w:eastAsia="黑体" w:cs="黑体"/>
          <w:sz w:val="32"/>
          <w:szCs w:val="32"/>
          <w:u w:val="none"/>
        </w:rPr>
        <w:t>二、对</w:t>
      </w:r>
      <w:r>
        <w:rPr>
          <w:rFonts w:hint="eastAsia" w:ascii="黑体" w:hAnsi="黑体" w:eastAsia="黑体" w:cs="黑体"/>
          <w:sz w:val="32"/>
          <w:szCs w:val="32"/>
          <w:u w:val="none"/>
          <w:lang w:eastAsia="zh-CN"/>
        </w:rPr>
        <w:t>服务</w:t>
      </w:r>
      <w:r>
        <w:rPr>
          <w:rFonts w:hint="eastAsia" w:ascii="黑体" w:hAnsi="黑体" w:eastAsia="黑体" w:cs="黑体"/>
          <w:sz w:val="32"/>
          <w:szCs w:val="32"/>
          <w:u w:val="none"/>
        </w:rPr>
        <w:t>要求的响应情况</w:t>
      </w:r>
    </w:p>
    <w:p>
      <w:pPr>
        <w:spacing w:line="580" w:lineRule="exact"/>
        <w:ind w:firstLine="640" w:firstLineChars="200"/>
        <w:rPr>
          <w:rFonts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（一）组建法律服务团队情况</w:t>
      </w:r>
    </w:p>
    <w:tbl>
      <w:tblPr>
        <w:tblStyle w:val="5"/>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15"/>
        <w:gridCol w:w="1568"/>
        <w:gridCol w:w="1701"/>
        <w:gridCol w:w="132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b/>
                <w:bCs/>
                <w:color w:val="000000"/>
                <w:sz w:val="28"/>
                <w:szCs w:val="28"/>
                <w:u w:val="none"/>
              </w:rPr>
            </w:pPr>
            <w:r>
              <w:rPr>
                <w:rFonts w:hint="eastAsia" w:ascii="仿宋_GB2312" w:hAnsi="Times New Roman" w:eastAsia="仿宋_GB2312" w:cs="Times New Roman"/>
                <w:b/>
                <w:bCs/>
                <w:color w:val="000000"/>
                <w:kern w:val="0"/>
                <w:sz w:val="28"/>
                <w:szCs w:val="28"/>
                <w:u w:val="none"/>
              </w:rPr>
              <w:t>序号</w:t>
            </w:r>
          </w:p>
        </w:tc>
        <w:tc>
          <w:tcPr>
            <w:tcW w:w="131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Times New Roman" w:eastAsia="仿宋_GB2312" w:cs="Times New Roman"/>
                <w:b/>
                <w:bCs/>
                <w:color w:val="000000"/>
                <w:kern w:val="0"/>
                <w:sz w:val="28"/>
                <w:szCs w:val="28"/>
                <w:u w:val="none"/>
              </w:rPr>
            </w:pPr>
            <w:r>
              <w:rPr>
                <w:rFonts w:hint="eastAsia" w:ascii="仿宋_GB2312" w:hAnsi="Times New Roman" w:eastAsia="仿宋_GB2312" w:cs="Times New Roman"/>
                <w:b/>
                <w:bCs/>
                <w:color w:val="000000"/>
                <w:kern w:val="0"/>
                <w:sz w:val="28"/>
                <w:szCs w:val="28"/>
                <w:u w:val="none"/>
              </w:rPr>
              <w:t>律师</w:t>
            </w:r>
          </w:p>
          <w:p>
            <w:pPr>
              <w:spacing w:line="320" w:lineRule="exact"/>
              <w:jc w:val="center"/>
              <w:rPr>
                <w:rFonts w:ascii="仿宋_GB2312" w:hAnsi="Calibri" w:eastAsia="仿宋_GB2312" w:cs="Times New Roman"/>
                <w:b/>
                <w:bCs/>
                <w:color w:val="000000"/>
                <w:sz w:val="28"/>
                <w:szCs w:val="28"/>
                <w:u w:val="none"/>
              </w:rPr>
            </w:pPr>
            <w:r>
              <w:rPr>
                <w:rFonts w:hint="eastAsia" w:ascii="仿宋_GB2312" w:hAnsi="Times New Roman" w:eastAsia="仿宋_GB2312" w:cs="Times New Roman"/>
                <w:b/>
                <w:bCs/>
                <w:color w:val="000000"/>
                <w:kern w:val="0"/>
                <w:sz w:val="28"/>
                <w:szCs w:val="28"/>
                <w:u w:val="none"/>
              </w:rPr>
              <w:t>姓名</w:t>
            </w:r>
          </w:p>
        </w:tc>
        <w:tc>
          <w:tcPr>
            <w:tcW w:w="156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Calibri" w:eastAsia="仿宋_GB2312" w:cs="Times New Roman"/>
                <w:b/>
                <w:bCs/>
                <w:color w:val="000000"/>
                <w:kern w:val="0"/>
                <w:sz w:val="28"/>
                <w:szCs w:val="28"/>
                <w:u w:val="none"/>
              </w:rPr>
            </w:pPr>
            <w:r>
              <w:rPr>
                <w:rFonts w:hint="eastAsia" w:ascii="仿宋_GB2312" w:hAnsi="Calibri" w:eastAsia="仿宋_GB2312" w:cs="Times New Roman"/>
                <w:b/>
                <w:bCs/>
                <w:color w:val="000000"/>
                <w:kern w:val="0"/>
                <w:sz w:val="28"/>
                <w:szCs w:val="28"/>
                <w:u w:val="none"/>
              </w:rPr>
              <w:t>在本项目中的职务</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b/>
                <w:bCs/>
                <w:color w:val="000000"/>
                <w:sz w:val="28"/>
                <w:szCs w:val="28"/>
                <w:u w:val="none"/>
              </w:rPr>
            </w:pPr>
            <w:r>
              <w:rPr>
                <w:rFonts w:hint="eastAsia" w:ascii="仿宋_GB2312" w:hAnsi="Calibri" w:eastAsia="仿宋_GB2312" w:cs="Times New Roman"/>
                <w:b/>
                <w:bCs/>
                <w:color w:val="000000"/>
                <w:sz w:val="28"/>
                <w:szCs w:val="28"/>
                <w:u w:val="none"/>
              </w:rPr>
              <w:t>是否为中国</w:t>
            </w:r>
          </w:p>
          <w:p>
            <w:pPr>
              <w:spacing w:line="320" w:lineRule="exact"/>
              <w:jc w:val="center"/>
              <w:rPr>
                <w:rFonts w:ascii="仿宋_GB2312" w:hAnsi="Calibri" w:eastAsia="仿宋_GB2312" w:cs="Times New Roman"/>
                <w:b/>
                <w:bCs/>
                <w:color w:val="000000"/>
                <w:sz w:val="28"/>
                <w:szCs w:val="28"/>
                <w:u w:val="none"/>
              </w:rPr>
            </w:pPr>
            <w:r>
              <w:rPr>
                <w:rFonts w:hint="eastAsia" w:ascii="仿宋_GB2312" w:hAnsi="Calibri" w:eastAsia="仿宋_GB2312" w:cs="Times New Roman"/>
                <w:b/>
                <w:bCs/>
                <w:color w:val="000000"/>
                <w:sz w:val="28"/>
                <w:szCs w:val="28"/>
                <w:u w:val="none"/>
              </w:rPr>
              <w:t>共产党员</w:t>
            </w:r>
          </w:p>
        </w:tc>
        <w:tc>
          <w:tcPr>
            <w:tcW w:w="13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b/>
                <w:bCs/>
                <w:color w:val="000000"/>
                <w:kern w:val="0"/>
                <w:sz w:val="28"/>
                <w:szCs w:val="28"/>
                <w:u w:val="none"/>
              </w:rPr>
            </w:pPr>
            <w:r>
              <w:rPr>
                <w:rFonts w:hint="eastAsia" w:ascii="仿宋_GB2312" w:hAnsi="Calibri" w:eastAsia="仿宋_GB2312" w:cs="Times New Roman"/>
                <w:b/>
                <w:bCs/>
                <w:color w:val="000000"/>
                <w:kern w:val="0"/>
                <w:sz w:val="28"/>
                <w:szCs w:val="28"/>
                <w:u w:val="none"/>
              </w:rPr>
              <w:t>执业年限（年）</w:t>
            </w:r>
          </w:p>
        </w:tc>
        <w:tc>
          <w:tcPr>
            <w:tcW w:w="1779"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hAnsi="Calibri" w:eastAsia="仿宋_GB2312" w:cs="Times New Roman"/>
                <w:b/>
                <w:bCs/>
                <w:color w:val="000000"/>
                <w:kern w:val="0"/>
                <w:sz w:val="28"/>
                <w:szCs w:val="28"/>
                <w:u w:val="none"/>
              </w:rPr>
            </w:pPr>
            <w:r>
              <w:rPr>
                <w:rFonts w:hint="eastAsia" w:ascii="仿宋_GB2312" w:hAnsi="Calibri" w:eastAsia="仿宋_GB2312" w:cs="Times New Roman"/>
                <w:b/>
                <w:bCs/>
                <w:color w:val="000000"/>
                <w:kern w:val="0"/>
                <w:sz w:val="28"/>
                <w:szCs w:val="28"/>
                <w:u w:val="none"/>
              </w:rPr>
              <w:t>该律师承办的法律服务事项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320" w:firstLineChars="100"/>
              <w:rPr>
                <w:rFonts w:ascii="仿宋_GB2312" w:hAnsi="Calibri" w:eastAsia="仿宋_GB2312" w:cs="Times New Roman"/>
                <w:color w:val="000000"/>
                <w:sz w:val="32"/>
                <w:szCs w:val="32"/>
                <w:u w:val="none"/>
              </w:rPr>
            </w:pPr>
            <w:r>
              <w:rPr>
                <w:rFonts w:hint="eastAsia" w:ascii="仿宋_GB2312" w:hAnsi="Calibri" w:eastAsia="仿宋_GB2312" w:cs="Times New Roman"/>
                <w:color w:val="000000"/>
                <w:sz w:val="32"/>
                <w:szCs w:val="32"/>
                <w:u w:val="none"/>
              </w:rPr>
              <w:t>1</w:t>
            </w:r>
          </w:p>
        </w:tc>
        <w:tc>
          <w:tcPr>
            <w:tcW w:w="1315" w:type="dxa"/>
            <w:tcBorders>
              <w:top w:val="single" w:color="auto" w:sz="4" w:space="0"/>
              <w:left w:val="nil"/>
              <w:bottom w:val="single" w:color="auto" w:sz="4" w:space="0"/>
              <w:right w:val="single" w:color="auto" w:sz="4" w:space="0"/>
            </w:tcBorders>
            <w:vAlign w:val="center"/>
          </w:tcPr>
          <w:p>
            <w:pPr>
              <w:spacing w:line="400" w:lineRule="exact"/>
              <w:rPr>
                <w:rFonts w:ascii="仿宋_GB2312" w:hAnsi="Calibri" w:eastAsia="仿宋_GB2312" w:cs="Times New Roman"/>
                <w:color w:val="000000"/>
                <w:sz w:val="32"/>
                <w:szCs w:val="32"/>
                <w:u w:val="none"/>
              </w:rPr>
            </w:pPr>
          </w:p>
        </w:tc>
        <w:tc>
          <w:tcPr>
            <w:tcW w:w="1568" w:type="dxa"/>
            <w:tcBorders>
              <w:top w:val="single" w:color="auto" w:sz="4" w:space="0"/>
              <w:left w:val="nil"/>
              <w:bottom w:val="single" w:color="auto" w:sz="4" w:space="0"/>
              <w:right w:val="single" w:color="auto" w:sz="4" w:space="0"/>
            </w:tcBorders>
            <w:vAlign w:val="center"/>
          </w:tcPr>
          <w:p>
            <w:pPr>
              <w:spacing w:line="400" w:lineRule="exact"/>
              <w:ind w:firstLine="640" w:firstLineChars="200"/>
              <w:rPr>
                <w:rFonts w:ascii="仿宋_GB2312" w:hAnsi="Calibri" w:eastAsia="仿宋_GB2312" w:cs="Times New Roman"/>
                <w:color w:val="000000"/>
                <w:kern w:val="0"/>
                <w:sz w:val="32"/>
                <w:szCs w:val="32"/>
                <w:u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640" w:firstLineChars="200"/>
              <w:rPr>
                <w:rFonts w:ascii="仿宋_GB2312" w:hAnsi="Calibri" w:eastAsia="仿宋_GB2312" w:cs="Times New Roman"/>
                <w:color w:val="000000"/>
                <w:sz w:val="32"/>
                <w:szCs w:val="32"/>
                <w:u w:val="none"/>
              </w:rPr>
            </w:pPr>
          </w:p>
          <w:p>
            <w:pPr>
              <w:spacing w:line="400" w:lineRule="exact"/>
              <w:ind w:firstLine="640" w:firstLineChars="200"/>
              <w:rPr>
                <w:rFonts w:ascii="仿宋_GB2312" w:hAnsi="Calibri" w:eastAsia="仿宋_GB2312" w:cs="Times New Roman"/>
                <w:color w:val="000000"/>
                <w:sz w:val="32"/>
                <w:szCs w:val="32"/>
                <w:u w:val="none"/>
              </w:rPr>
            </w:pPr>
          </w:p>
          <w:p>
            <w:pPr>
              <w:spacing w:line="400" w:lineRule="exact"/>
              <w:ind w:firstLine="640" w:firstLineChars="200"/>
              <w:rPr>
                <w:rFonts w:ascii="仿宋_GB2312" w:hAnsi="Calibri" w:eastAsia="仿宋_GB2312" w:cs="Times New Roman"/>
                <w:color w:val="000000"/>
                <w:sz w:val="32"/>
                <w:szCs w:val="32"/>
                <w:u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640" w:firstLineChars="200"/>
              <w:rPr>
                <w:rFonts w:ascii="仿宋_GB2312" w:hAnsi="Calibri" w:eastAsia="仿宋_GB2312" w:cs="Times New Roman"/>
                <w:color w:val="000000"/>
                <w:kern w:val="0"/>
                <w:sz w:val="32"/>
                <w:szCs w:val="32"/>
                <w:u w:val="none"/>
              </w:rPr>
            </w:pPr>
          </w:p>
        </w:tc>
        <w:tc>
          <w:tcPr>
            <w:tcW w:w="1779"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ascii="仿宋_GB2312" w:hAnsi="Calibri" w:eastAsia="仿宋_GB2312" w:cs="Times New Roman"/>
                <w:color w:val="000000"/>
                <w:kern w:val="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320" w:firstLineChars="100"/>
              <w:rPr>
                <w:rFonts w:ascii="仿宋_GB2312" w:hAnsi="Times New Roman" w:eastAsia="仿宋_GB2312" w:cs="Times New Roman"/>
                <w:color w:val="000000"/>
                <w:kern w:val="0"/>
                <w:sz w:val="32"/>
                <w:szCs w:val="32"/>
                <w:u w:val="none"/>
              </w:rPr>
            </w:pPr>
            <w:r>
              <w:rPr>
                <w:rFonts w:hint="eastAsia" w:ascii="仿宋_GB2312" w:hAnsi="Times New Roman" w:eastAsia="仿宋_GB2312" w:cs="Times New Roman"/>
                <w:color w:val="000000"/>
                <w:kern w:val="0"/>
                <w:sz w:val="32"/>
                <w:szCs w:val="32"/>
                <w:u w:val="none"/>
              </w:rPr>
              <w:t>2</w:t>
            </w:r>
          </w:p>
        </w:tc>
        <w:tc>
          <w:tcPr>
            <w:tcW w:w="1315" w:type="dxa"/>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s="Times New Roman"/>
                <w:kern w:val="0"/>
                <w:sz w:val="32"/>
                <w:szCs w:val="32"/>
                <w:u w:val="none"/>
              </w:rPr>
            </w:pPr>
          </w:p>
        </w:tc>
        <w:tc>
          <w:tcPr>
            <w:tcW w:w="1568" w:type="dxa"/>
            <w:tcBorders>
              <w:top w:val="single" w:color="auto" w:sz="4" w:space="0"/>
              <w:left w:val="nil"/>
              <w:bottom w:val="single" w:color="auto" w:sz="4" w:space="0"/>
              <w:right w:val="single" w:color="auto" w:sz="4" w:space="0"/>
            </w:tcBorders>
            <w:vAlign w:val="center"/>
          </w:tcPr>
          <w:p>
            <w:pPr>
              <w:spacing w:line="400" w:lineRule="exact"/>
              <w:ind w:firstLine="640" w:firstLineChars="200"/>
              <w:rPr>
                <w:rFonts w:ascii="仿宋_GB2312" w:hAnsi="Calibri" w:eastAsia="仿宋_GB2312" w:cs="Times New Roman"/>
                <w:color w:val="000000"/>
                <w:kern w:val="0"/>
                <w:sz w:val="32"/>
                <w:szCs w:val="32"/>
                <w:u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640" w:firstLineChars="200"/>
              <w:rPr>
                <w:rFonts w:ascii="仿宋_GB2312" w:hAnsi="Calibri" w:eastAsia="仿宋_GB2312" w:cs="Times New Roman"/>
                <w:color w:val="000000"/>
                <w:kern w:val="0"/>
                <w:sz w:val="32"/>
                <w:szCs w:val="32"/>
                <w:u w:val="none"/>
              </w:rPr>
            </w:pPr>
          </w:p>
          <w:p>
            <w:pPr>
              <w:spacing w:line="400" w:lineRule="exact"/>
              <w:ind w:firstLine="640" w:firstLineChars="200"/>
              <w:rPr>
                <w:rFonts w:ascii="仿宋_GB2312" w:hAnsi="Calibri" w:eastAsia="仿宋_GB2312" w:cs="Times New Roman"/>
                <w:color w:val="000000"/>
                <w:kern w:val="0"/>
                <w:sz w:val="32"/>
                <w:szCs w:val="32"/>
                <w:u w:val="none"/>
              </w:rPr>
            </w:pPr>
          </w:p>
          <w:p>
            <w:pPr>
              <w:spacing w:line="400" w:lineRule="exact"/>
              <w:ind w:firstLine="640" w:firstLineChars="200"/>
              <w:rPr>
                <w:rFonts w:ascii="仿宋_GB2312" w:hAnsi="Calibri" w:eastAsia="仿宋_GB2312" w:cs="Times New Roman"/>
                <w:color w:val="000000"/>
                <w:kern w:val="0"/>
                <w:sz w:val="32"/>
                <w:szCs w:val="32"/>
                <w:u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640" w:firstLineChars="200"/>
              <w:rPr>
                <w:rFonts w:ascii="仿宋_GB2312" w:hAnsi="Calibri" w:eastAsia="仿宋_GB2312" w:cs="Times New Roman"/>
                <w:color w:val="000000"/>
                <w:kern w:val="0"/>
                <w:sz w:val="32"/>
                <w:szCs w:val="32"/>
                <w:u w:val="none"/>
              </w:rPr>
            </w:pPr>
          </w:p>
        </w:tc>
        <w:tc>
          <w:tcPr>
            <w:tcW w:w="1779"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ascii="仿宋_GB2312" w:hAnsi="Calibri" w:eastAsia="仿宋_GB2312" w:cs="Times New Roman"/>
                <w:color w:val="000000"/>
                <w:kern w:val="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320" w:firstLineChars="100"/>
              <w:rPr>
                <w:rFonts w:ascii="仿宋_GB2312" w:hAnsi="Times New Roman" w:eastAsia="仿宋_GB2312" w:cs="Times New Roman"/>
                <w:color w:val="000000"/>
                <w:kern w:val="0"/>
                <w:sz w:val="32"/>
                <w:szCs w:val="32"/>
                <w:u w:val="none"/>
              </w:rPr>
            </w:pPr>
            <w:r>
              <w:rPr>
                <w:rFonts w:hint="eastAsia" w:ascii="仿宋_GB2312" w:hAnsi="Times New Roman" w:eastAsia="仿宋_GB2312" w:cs="Times New Roman"/>
                <w:color w:val="000000"/>
                <w:kern w:val="0"/>
                <w:sz w:val="32"/>
                <w:szCs w:val="32"/>
                <w:u w:val="none"/>
              </w:rPr>
              <w:t>3</w:t>
            </w:r>
          </w:p>
        </w:tc>
        <w:tc>
          <w:tcPr>
            <w:tcW w:w="1315" w:type="dxa"/>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s="Times New Roman"/>
                <w:kern w:val="0"/>
                <w:sz w:val="32"/>
                <w:szCs w:val="32"/>
                <w:u w:val="none"/>
              </w:rPr>
            </w:pPr>
          </w:p>
        </w:tc>
        <w:tc>
          <w:tcPr>
            <w:tcW w:w="1568" w:type="dxa"/>
            <w:tcBorders>
              <w:top w:val="single" w:color="auto" w:sz="4" w:space="0"/>
              <w:left w:val="nil"/>
              <w:bottom w:val="single" w:color="auto" w:sz="4" w:space="0"/>
              <w:right w:val="single" w:color="auto" w:sz="4" w:space="0"/>
            </w:tcBorders>
            <w:vAlign w:val="center"/>
          </w:tcPr>
          <w:p>
            <w:pPr>
              <w:spacing w:line="400" w:lineRule="exact"/>
              <w:ind w:firstLine="640" w:firstLineChars="200"/>
              <w:rPr>
                <w:rFonts w:ascii="仿宋_GB2312" w:hAnsi="Calibri" w:eastAsia="仿宋_GB2312" w:cs="Times New Roman"/>
                <w:color w:val="000000"/>
                <w:kern w:val="0"/>
                <w:sz w:val="32"/>
                <w:szCs w:val="32"/>
                <w:u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640" w:firstLineChars="200"/>
              <w:rPr>
                <w:rFonts w:ascii="仿宋_GB2312" w:hAnsi="Calibri" w:eastAsia="仿宋_GB2312" w:cs="Times New Roman"/>
                <w:color w:val="000000"/>
                <w:kern w:val="0"/>
                <w:sz w:val="32"/>
                <w:szCs w:val="32"/>
                <w:u w:val="none"/>
              </w:rPr>
            </w:pPr>
          </w:p>
          <w:p>
            <w:pPr>
              <w:spacing w:line="400" w:lineRule="exact"/>
              <w:ind w:firstLine="640" w:firstLineChars="200"/>
              <w:rPr>
                <w:rFonts w:ascii="仿宋_GB2312" w:hAnsi="Calibri" w:eastAsia="仿宋_GB2312" w:cs="Times New Roman"/>
                <w:color w:val="000000"/>
                <w:kern w:val="0"/>
                <w:sz w:val="32"/>
                <w:szCs w:val="32"/>
                <w:u w:val="none"/>
              </w:rPr>
            </w:pPr>
          </w:p>
          <w:p>
            <w:pPr>
              <w:spacing w:line="400" w:lineRule="exact"/>
              <w:ind w:firstLine="640" w:firstLineChars="200"/>
              <w:rPr>
                <w:rFonts w:ascii="仿宋_GB2312" w:hAnsi="Calibri" w:eastAsia="仿宋_GB2312" w:cs="Times New Roman"/>
                <w:color w:val="000000"/>
                <w:kern w:val="0"/>
                <w:sz w:val="32"/>
                <w:szCs w:val="32"/>
                <w:u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640" w:firstLineChars="200"/>
              <w:rPr>
                <w:rFonts w:ascii="仿宋_GB2312" w:hAnsi="Calibri" w:eastAsia="仿宋_GB2312" w:cs="Times New Roman"/>
                <w:color w:val="000000"/>
                <w:kern w:val="0"/>
                <w:sz w:val="32"/>
                <w:szCs w:val="32"/>
                <w:u w:val="none"/>
              </w:rPr>
            </w:pPr>
          </w:p>
        </w:tc>
        <w:tc>
          <w:tcPr>
            <w:tcW w:w="1779"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ascii="仿宋_GB2312" w:hAnsi="Calibri" w:eastAsia="仿宋_GB2312" w:cs="Times New Roman"/>
                <w:color w:val="000000"/>
                <w:kern w:val="0"/>
                <w:sz w:val="32"/>
                <w:szCs w:val="32"/>
                <w:u w:val="none"/>
              </w:rPr>
            </w:pPr>
          </w:p>
        </w:tc>
      </w:tr>
    </w:tbl>
    <w:p>
      <w:pPr>
        <w:spacing w:line="520" w:lineRule="exact"/>
        <w:ind w:firstLine="640" w:firstLineChars="200"/>
        <w:jc w:val="left"/>
        <w:rPr>
          <w:rFonts w:ascii="黑体" w:hAnsi="黑体" w:eastAsia="黑体" w:cs="黑体"/>
          <w:sz w:val="32"/>
          <w:szCs w:val="32"/>
          <w:u w:val="none"/>
        </w:rPr>
      </w:pPr>
    </w:p>
    <w:p>
      <w:pPr>
        <w:spacing w:line="520" w:lineRule="exact"/>
        <w:ind w:firstLine="643" w:firstLineChars="200"/>
        <w:jc w:val="left"/>
        <w:rPr>
          <w:rFonts w:ascii="仿宋" w:hAnsi="仿宋" w:eastAsia="仿宋" w:cs="仿宋"/>
          <w:b/>
          <w:sz w:val="32"/>
          <w:szCs w:val="32"/>
          <w:u w:val="none"/>
        </w:rPr>
      </w:pPr>
      <w:r>
        <w:rPr>
          <w:rFonts w:hint="eastAsia" w:ascii="仿宋" w:hAnsi="仿宋" w:eastAsia="仿宋" w:cs="仿宋"/>
          <w:b/>
          <w:sz w:val="32"/>
          <w:szCs w:val="32"/>
          <w:u w:val="none"/>
        </w:rPr>
        <w:t>（二）技术响应情况（满分60分）</w:t>
      </w:r>
    </w:p>
    <w:tbl>
      <w:tblPr>
        <w:tblStyle w:val="5"/>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65"/>
        <w:gridCol w:w="4221"/>
        <w:gridCol w:w="21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序号</w:t>
            </w:r>
          </w:p>
        </w:tc>
        <w:tc>
          <w:tcPr>
            <w:tcW w:w="1165"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评分</w:t>
            </w:r>
          </w:p>
          <w:p>
            <w:pPr>
              <w:spacing w:line="320" w:lineRule="exact"/>
              <w:jc w:val="center"/>
              <w:rPr>
                <w:rFonts w:ascii="黑体" w:hAnsi="黑体" w:eastAsia="黑体" w:cs="黑体"/>
                <w:sz w:val="24"/>
                <w:u w:val="none"/>
              </w:rPr>
            </w:pPr>
            <w:r>
              <w:rPr>
                <w:rFonts w:hint="eastAsia" w:ascii="黑体" w:hAnsi="黑体" w:eastAsia="黑体" w:cs="黑体"/>
                <w:sz w:val="24"/>
                <w:u w:val="none"/>
              </w:rPr>
              <w:t>类型</w:t>
            </w:r>
          </w:p>
        </w:tc>
        <w:tc>
          <w:tcPr>
            <w:tcW w:w="4221"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技术要求</w:t>
            </w:r>
          </w:p>
        </w:tc>
        <w:tc>
          <w:tcPr>
            <w:tcW w:w="216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响应情况</w:t>
            </w:r>
          </w:p>
        </w:tc>
        <w:tc>
          <w:tcPr>
            <w:tcW w:w="106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6" w:hRule="atLeast"/>
        </w:trPr>
        <w:tc>
          <w:tcPr>
            <w:tcW w:w="534" w:type="dxa"/>
            <w:vAlign w:val="center"/>
          </w:tcPr>
          <w:p>
            <w:pPr>
              <w:spacing w:line="320" w:lineRule="exact"/>
              <w:jc w:val="center"/>
              <w:rPr>
                <w:rFonts w:eastAsia="Times New Roman" w:asciiTheme="minorEastAsia" w:hAnsiTheme="minorEastAsia" w:cstheme="minorEastAsia"/>
                <w:sz w:val="24"/>
                <w:u w:val="none"/>
              </w:rPr>
            </w:pPr>
            <w:r>
              <w:rPr>
                <w:rFonts w:hint="eastAsia" w:eastAsia="Times New Roman" w:asciiTheme="minorEastAsia" w:hAnsiTheme="minorEastAsia" w:cstheme="minorEastAsia"/>
                <w:sz w:val="24"/>
                <w:u w:val="none"/>
              </w:rPr>
              <w:t>1</w:t>
            </w:r>
          </w:p>
        </w:tc>
        <w:tc>
          <w:tcPr>
            <w:tcW w:w="1165" w:type="dxa"/>
            <w:vMerge w:val="restart"/>
            <w:vAlign w:val="center"/>
          </w:tcPr>
          <w:p>
            <w:pPr>
              <w:spacing w:line="320" w:lineRule="exact"/>
              <w:jc w:val="left"/>
              <w:rPr>
                <w:rFonts w:asciiTheme="minorEastAsia" w:hAnsiTheme="minorEastAsia" w:cstheme="minorEastAsia"/>
                <w:sz w:val="24"/>
                <w:u w:val="none"/>
              </w:rPr>
            </w:pPr>
            <w:r>
              <w:rPr>
                <w:rFonts w:hint="eastAsia" w:eastAsia="Times New Roman" w:asciiTheme="minorEastAsia" w:hAnsiTheme="minorEastAsia" w:cstheme="minorEastAsia"/>
                <w:sz w:val="24"/>
                <w:u w:val="none"/>
              </w:rPr>
              <w:t>项目负责人服务能力（1</w:t>
            </w:r>
            <w:r>
              <w:rPr>
                <w:rFonts w:hint="eastAsia" w:asciiTheme="minorEastAsia" w:hAnsiTheme="minorEastAsia" w:cstheme="minorEastAsia"/>
                <w:sz w:val="24"/>
                <w:u w:val="none"/>
              </w:rPr>
              <w:t>2</w:t>
            </w:r>
            <w:r>
              <w:rPr>
                <w:rFonts w:hint="eastAsia" w:eastAsia="Times New Roman" w:asciiTheme="minorEastAsia" w:hAnsiTheme="minorEastAsia" w:cstheme="minorEastAsia"/>
                <w:sz w:val="24"/>
                <w:u w:val="none"/>
              </w:rPr>
              <w:t>分</w:t>
            </w:r>
            <w:r>
              <w:rPr>
                <w:rFonts w:hint="eastAsia" w:asciiTheme="minorEastAsia" w:hAnsiTheme="minorEastAsia" w:cstheme="minorEastAsia"/>
                <w:sz w:val="24"/>
                <w:u w:val="none"/>
              </w:rPr>
              <w:t>）</w:t>
            </w:r>
          </w:p>
        </w:tc>
        <w:tc>
          <w:tcPr>
            <w:tcW w:w="4221" w:type="dxa"/>
            <w:vAlign w:val="center"/>
          </w:tcPr>
          <w:p>
            <w:pPr>
              <w:widowControl/>
              <w:spacing w:line="320" w:lineRule="exact"/>
              <w:jc w:val="left"/>
              <w:textAlignment w:val="center"/>
              <w:rPr>
                <w:rFonts w:eastAsia="Times New Roman" w:asciiTheme="minorEastAsia" w:hAnsiTheme="minorEastAsia" w:cstheme="minorEastAsia"/>
                <w:sz w:val="24"/>
                <w:u w:val="none"/>
              </w:rPr>
            </w:pPr>
            <w:r>
              <w:rPr>
                <w:rFonts w:hint="eastAsia" w:ascii="宋体" w:hAnsi="宋体" w:eastAsia="宋体" w:cs="宋体"/>
                <w:color w:val="000000"/>
                <w:kern w:val="0"/>
                <w:sz w:val="24"/>
                <w:u w:val="none"/>
              </w:rPr>
              <w:t>（1）律师执业年限。项目负责人具有10年(含)以上、15年以下行政法律服务执业经验，得1分；具有15年(含)以上、20年以下行政法律服务执业经验，得2分；具有20年(含)以上行政法律服务执业经验，得3分。（响应单位需列表说明，并附相关证书复印件。需要说明的内容若需补充表达，应先在本表中进行相应说明，再另页应答，但应做好标注说明，方便评审小组查阅评审，下同）（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534" w:type="dxa"/>
            <w:vAlign w:val="center"/>
          </w:tcPr>
          <w:p>
            <w:pPr>
              <w:spacing w:line="320" w:lineRule="exact"/>
              <w:jc w:val="center"/>
              <w:rPr>
                <w:rFonts w:eastAsia="Times New Roman" w:asciiTheme="minorEastAsia" w:hAnsiTheme="minorEastAsia" w:cstheme="minorEastAsia"/>
                <w:sz w:val="24"/>
                <w:u w:val="none"/>
              </w:rPr>
            </w:pPr>
            <w:r>
              <w:rPr>
                <w:rFonts w:hint="eastAsia" w:eastAsia="Times New Roman" w:asciiTheme="minorEastAsia" w:hAnsiTheme="minorEastAsia" w:cstheme="minorEastAsia"/>
                <w:sz w:val="24"/>
                <w:u w:val="none"/>
              </w:rPr>
              <w:t>2</w:t>
            </w:r>
          </w:p>
        </w:tc>
        <w:tc>
          <w:tcPr>
            <w:tcW w:w="1165" w:type="dxa"/>
            <w:vMerge w:val="continue"/>
            <w:vAlign w:val="center"/>
          </w:tcPr>
          <w:p>
            <w:pPr>
              <w:spacing w:line="320" w:lineRule="exact"/>
              <w:jc w:val="left"/>
              <w:rPr>
                <w:rFonts w:eastAsia="Times New Roman" w:asciiTheme="minorEastAsia" w:hAnsiTheme="minorEastAsia" w:cstheme="minorEastAsia"/>
                <w:sz w:val="24"/>
                <w:u w:val="none"/>
              </w:rPr>
            </w:pPr>
          </w:p>
        </w:tc>
        <w:tc>
          <w:tcPr>
            <w:tcW w:w="4221" w:type="dxa"/>
            <w:vAlign w:val="center"/>
          </w:tcPr>
          <w:p>
            <w:pPr>
              <w:widowControl/>
              <w:spacing w:line="320" w:lineRule="exact"/>
              <w:jc w:val="left"/>
              <w:textAlignment w:val="center"/>
              <w:rPr>
                <w:rFonts w:eastAsia="Times New Roman" w:asciiTheme="minorEastAsia" w:hAnsiTheme="minorEastAsia" w:cstheme="minorEastAsia"/>
                <w:sz w:val="24"/>
                <w:u w:val="none"/>
              </w:rPr>
            </w:pPr>
            <w:r>
              <w:rPr>
                <w:rFonts w:hint="eastAsia" w:ascii="宋体" w:hAnsi="宋体" w:eastAsia="宋体" w:cs="宋体"/>
                <w:color w:val="000000"/>
                <w:kern w:val="0"/>
                <w:sz w:val="24"/>
                <w:u w:val="none"/>
              </w:rPr>
              <w:t>（</w:t>
            </w:r>
            <w:r>
              <w:rPr>
                <w:rFonts w:hint="eastAsia" w:ascii="宋体" w:hAnsi="宋体" w:eastAsia="宋体" w:cs="宋体"/>
                <w:color w:val="000000"/>
                <w:kern w:val="0"/>
                <w:sz w:val="24"/>
                <w:u w:val="none"/>
                <w:lang w:val="en-US" w:eastAsia="zh-CN"/>
              </w:rPr>
              <w:t>2</w:t>
            </w:r>
            <w:r>
              <w:rPr>
                <w:rFonts w:hint="eastAsia" w:ascii="宋体" w:hAnsi="宋体" w:eastAsia="宋体" w:cs="宋体"/>
                <w:color w:val="000000"/>
                <w:kern w:val="0"/>
                <w:sz w:val="24"/>
                <w:u w:val="none"/>
              </w:rPr>
              <w:t>）牵头组织实施本项目。项目负责人必须是本项目法律服务全过程的真正组织者和指导者，并负责协调本项目日常工作，处理并指导其他律师提供常年法律顾问服务、政府采购专项法律服务、诉讼应诉代理服务等法律服务。对上述内容完整承诺的，得3分；承诺不完整的，不得分。（响应单位需出具承诺函）（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534" w:type="dxa"/>
            <w:vAlign w:val="center"/>
          </w:tcPr>
          <w:p>
            <w:pPr>
              <w:spacing w:line="320" w:lineRule="exact"/>
              <w:jc w:val="center"/>
              <w:rPr>
                <w:rFonts w:eastAsia="Times New Roman" w:asciiTheme="minorEastAsia" w:hAnsiTheme="minorEastAsia" w:cstheme="minorEastAsia"/>
                <w:sz w:val="24"/>
                <w:u w:val="none"/>
              </w:rPr>
            </w:pPr>
            <w:r>
              <w:rPr>
                <w:rFonts w:hint="eastAsia" w:eastAsia="Times New Roman" w:asciiTheme="minorEastAsia" w:hAnsiTheme="minorEastAsia" w:cstheme="minorEastAsia"/>
                <w:sz w:val="24"/>
                <w:u w:val="none"/>
              </w:rPr>
              <w:t>3</w:t>
            </w:r>
          </w:p>
        </w:tc>
        <w:tc>
          <w:tcPr>
            <w:tcW w:w="1165" w:type="dxa"/>
            <w:vMerge w:val="continue"/>
            <w:vAlign w:val="center"/>
          </w:tcPr>
          <w:p>
            <w:pPr>
              <w:spacing w:line="320" w:lineRule="exact"/>
              <w:jc w:val="left"/>
              <w:rPr>
                <w:rFonts w:eastAsia="Times New Roman" w:asciiTheme="minorEastAsia" w:hAnsiTheme="minorEastAsia" w:cstheme="minorEastAsia"/>
                <w:sz w:val="24"/>
                <w:u w:val="none"/>
              </w:rPr>
            </w:pPr>
          </w:p>
        </w:tc>
        <w:tc>
          <w:tcPr>
            <w:tcW w:w="4221" w:type="dxa"/>
            <w:vAlign w:val="center"/>
          </w:tcPr>
          <w:p>
            <w:pPr>
              <w:widowControl/>
              <w:spacing w:line="320" w:lineRule="exact"/>
              <w:jc w:val="left"/>
              <w:textAlignment w:val="center"/>
              <w:rPr>
                <w:rFonts w:eastAsia="Times New Roman" w:asciiTheme="minorEastAsia" w:hAnsiTheme="minorEastAsia" w:cstheme="minorEastAsia"/>
                <w:sz w:val="24"/>
                <w:u w:val="none"/>
              </w:rPr>
            </w:pPr>
            <w:r>
              <w:rPr>
                <w:rFonts w:hint="eastAsia" w:ascii="宋体" w:hAnsi="宋体" w:eastAsia="宋体" w:cs="宋体"/>
                <w:color w:val="000000"/>
                <w:kern w:val="0"/>
                <w:sz w:val="24"/>
                <w:u w:val="none"/>
              </w:rPr>
              <w:t>（3）牵头处理重大疑难法律事务。应泉州市财政局的要求，项目负责人需亲自处理重大疑难法律事务，相关诉讼案件应亲自出庭应诉。对上述内容完整承诺的，得3分；承诺不完整的，不得分。（响应单位需出具承诺函）（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534" w:type="dxa"/>
            <w:vAlign w:val="center"/>
          </w:tcPr>
          <w:p>
            <w:pPr>
              <w:spacing w:line="320" w:lineRule="exact"/>
              <w:jc w:val="center"/>
              <w:rPr>
                <w:rFonts w:eastAsia="宋体" w:asciiTheme="minorEastAsia" w:hAnsiTheme="minorEastAsia" w:cstheme="minorEastAsia"/>
                <w:sz w:val="24"/>
                <w:u w:val="none"/>
              </w:rPr>
            </w:pPr>
            <w:r>
              <w:rPr>
                <w:rFonts w:hint="eastAsia" w:eastAsia="宋体" w:asciiTheme="minorEastAsia" w:hAnsiTheme="minorEastAsia" w:cstheme="minorEastAsia"/>
                <w:sz w:val="24"/>
                <w:u w:val="none"/>
              </w:rPr>
              <w:t>4</w:t>
            </w:r>
          </w:p>
        </w:tc>
        <w:tc>
          <w:tcPr>
            <w:tcW w:w="1165" w:type="dxa"/>
            <w:vMerge w:val="continue"/>
            <w:vAlign w:val="center"/>
          </w:tcPr>
          <w:p>
            <w:pPr>
              <w:spacing w:line="320" w:lineRule="exact"/>
              <w:jc w:val="left"/>
              <w:rPr>
                <w:rFonts w:eastAsia="Times New Roman" w:asciiTheme="minorEastAsia" w:hAnsiTheme="minorEastAsia" w:cstheme="minorEastAsia"/>
                <w:sz w:val="24"/>
                <w:u w:val="none"/>
              </w:rPr>
            </w:pPr>
          </w:p>
        </w:tc>
        <w:tc>
          <w:tcPr>
            <w:tcW w:w="4221" w:type="dxa"/>
            <w:vAlign w:val="center"/>
          </w:tcPr>
          <w:p>
            <w:pPr>
              <w:widowControl/>
              <w:spacing w:line="320" w:lineRule="exact"/>
              <w:jc w:val="left"/>
              <w:textAlignment w:val="center"/>
              <w:rPr>
                <w:rFonts w:ascii="宋体" w:hAnsi="宋体" w:eastAsia="宋体" w:cs="宋体"/>
                <w:color w:val="000000"/>
                <w:kern w:val="0"/>
                <w:sz w:val="24"/>
                <w:u w:val="none"/>
              </w:rPr>
            </w:pPr>
            <w:r>
              <w:rPr>
                <w:rFonts w:hint="eastAsia" w:ascii="宋体" w:hAnsi="宋体" w:eastAsia="宋体" w:cs="宋体"/>
                <w:color w:val="000000"/>
                <w:kern w:val="0"/>
                <w:sz w:val="24"/>
                <w:u w:val="none"/>
              </w:rPr>
              <w:t>（4）项目负责人的稳定性。本项目实施过程中，项目负责人原则上不得变更。对上述内容完整承诺的，得3分，承诺不完整的，不得分。（响应单位需出具承诺函）（满分3分）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bl>
    <w:p>
      <w:pPr>
        <w:spacing w:line="520" w:lineRule="exact"/>
        <w:ind w:firstLine="480" w:firstLineChars="200"/>
        <w:jc w:val="left"/>
        <w:rPr>
          <w:rFonts w:cs="仿宋" w:asciiTheme="minorEastAsia" w:hAnsiTheme="minorEastAsia"/>
          <w:sz w:val="24"/>
          <w:u w:val="none"/>
        </w:rPr>
      </w:pPr>
    </w:p>
    <w:p>
      <w:pPr>
        <w:spacing w:line="520" w:lineRule="exact"/>
        <w:ind w:firstLine="480" w:firstLineChars="200"/>
        <w:jc w:val="left"/>
        <w:rPr>
          <w:rFonts w:cs="仿宋" w:asciiTheme="minorEastAsia" w:hAnsiTheme="minorEastAsia"/>
          <w:sz w:val="24"/>
          <w:u w:val="none"/>
        </w:rPr>
      </w:pPr>
    </w:p>
    <w:tbl>
      <w:tblPr>
        <w:tblStyle w:val="5"/>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47"/>
        <w:gridCol w:w="4339"/>
        <w:gridCol w:w="21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序号</w:t>
            </w:r>
          </w:p>
        </w:tc>
        <w:tc>
          <w:tcPr>
            <w:tcW w:w="1047"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评分</w:t>
            </w:r>
          </w:p>
          <w:p>
            <w:pPr>
              <w:spacing w:line="320" w:lineRule="exact"/>
              <w:jc w:val="center"/>
              <w:rPr>
                <w:rFonts w:ascii="黑体" w:hAnsi="黑体" w:eastAsia="黑体" w:cs="黑体"/>
                <w:sz w:val="24"/>
                <w:u w:val="none"/>
              </w:rPr>
            </w:pPr>
            <w:r>
              <w:rPr>
                <w:rFonts w:hint="eastAsia" w:ascii="黑体" w:hAnsi="黑体" w:eastAsia="黑体" w:cs="黑体"/>
                <w:sz w:val="24"/>
                <w:u w:val="none"/>
              </w:rPr>
              <w:t>类型</w:t>
            </w:r>
          </w:p>
        </w:tc>
        <w:tc>
          <w:tcPr>
            <w:tcW w:w="433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技术要求</w:t>
            </w:r>
          </w:p>
        </w:tc>
        <w:tc>
          <w:tcPr>
            <w:tcW w:w="216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响应情况</w:t>
            </w:r>
          </w:p>
        </w:tc>
        <w:tc>
          <w:tcPr>
            <w:tcW w:w="106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5</w:t>
            </w:r>
          </w:p>
        </w:tc>
        <w:tc>
          <w:tcPr>
            <w:tcW w:w="1047" w:type="dxa"/>
            <w:vMerge w:val="restart"/>
            <w:vAlign w:val="center"/>
          </w:tcPr>
          <w:p>
            <w:pPr>
              <w:spacing w:line="320" w:lineRule="exact"/>
              <w:jc w:val="left"/>
              <w:rPr>
                <w:rFonts w:eastAsia="Times New Roman" w:asciiTheme="minorEastAsia" w:hAnsiTheme="minorEastAsia" w:cstheme="minorEastAsia"/>
                <w:sz w:val="24"/>
                <w:u w:val="none"/>
              </w:rPr>
            </w:pPr>
            <w:r>
              <w:rPr>
                <w:rFonts w:hint="eastAsia" w:eastAsia="Times New Roman" w:asciiTheme="minorEastAsia" w:hAnsiTheme="minorEastAsia" w:cstheme="minorEastAsia"/>
                <w:sz w:val="24"/>
                <w:u w:val="none"/>
              </w:rPr>
              <w:t>常年法律顾问律师服务能力（1</w:t>
            </w:r>
            <w:r>
              <w:rPr>
                <w:rFonts w:hint="eastAsia" w:asciiTheme="minorEastAsia" w:hAnsiTheme="minorEastAsia" w:cstheme="minorEastAsia"/>
                <w:sz w:val="24"/>
                <w:u w:val="none"/>
              </w:rPr>
              <w:t>5</w:t>
            </w:r>
            <w:r>
              <w:rPr>
                <w:rFonts w:hint="eastAsia" w:eastAsia="Times New Roman" w:asciiTheme="minorEastAsia" w:hAnsiTheme="minorEastAsia" w:cstheme="minorEastAsia"/>
                <w:sz w:val="24"/>
                <w:u w:val="none"/>
              </w:rPr>
              <w:t>分）</w:t>
            </w:r>
          </w:p>
        </w:tc>
        <w:tc>
          <w:tcPr>
            <w:tcW w:w="4339"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（1）服务人数。指派1名符合规定条件的常年法律顾问律师的，得1分；每增加1名常年法律顾问律师的，得1分。（响应单位需列表说明）（满分3分）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6</w:t>
            </w:r>
          </w:p>
        </w:tc>
        <w:tc>
          <w:tcPr>
            <w:tcW w:w="1047" w:type="dxa"/>
            <w:vMerge w:val="continue"/>
            <w:vAlign w:val="center"/>
          </w:tcPr>
          <w:p>
            <w:pPr>
              <w:spacing w:line="320" w:lineRule="exact"/>
              <w:jc w:val="left"/>
              <w:rPr>
                <w:rFonts w:eastAsia="Times New Roman" w:asciiTheme="minorEastAsia" w:hAnsiTheme="minorEastAsia" w:cstheme="minorEastAsia"/>
                <w:sz w:val="24"/>
                <w:u w:val="none"/>
              </w:rPr>
            </w:pPr>
          </w:p>
        </w:tc>
        <w:tc>
          <w:tcPr>
            <w:tcW w:w="4339" w:type="dxa"/>
            <w:vAlign w:val="center"/>
          </w:tcPr>
          <w:p>
            <w:pPr>
              <w:spacing w:line="320" w:lineRule="exact"/>
              <w:rPr>
                <w:rFonts w:asciiTheme="minorEastAsia" w:hAnsiTheme="minorEastAsia"/>
                <w:color w:val="000000"/>
                <w:sz w:val="24"/>
                <w:u w:val="none"/>
              </w:rPr>
            </w:pPr>
            <w:r>
              <w:rPr>
                <w:rFonts w:hint="eastAsia" w:ascii="宋体" w:hAnsi="宋体" w:eastAsia="宋体" w:cs="宋体"/>
                <w:color w:val="000000"/>
                <w:kern w:val="0"/>
                <w:sz w:val="24"/>
                <w:u w:val="none"/>
              </w:rPr>
              <w:t>（2）法学教育背景。</w:t>
            </w:r>
            <w:r>
              <w:rPr>
                <w:rFonts w:hint="eastAsia" w:eastAsia="Times New Roman" w:asciiTheme="minorEastAsia" w:hAnsiTheme="minorEastAsia" w:cstheme="minorEastAsia"/>
                <w:sz w:val="24"/>
                <w:u w:val="none"/>
              </w:rPr>
              <w:t>常年法律顾问律师</w:t>
            </w:r>
            <w:r>
              <w:rPr>
                <w:rFonts w:hint="eastAsia" w:ascii="宋体" w:hAnsi="宋体" w:eastAsia="宋体" w:cs="宋体"/>
                <w:color w:val="000000"/>
                <w:kern w:val="0"/>
                <w:sz w:val="24"/>
                <w:u w:val="none"/>
              </w:rPr>
              <w:t>本科学历为法学专业的，得1分；硕士研究生学历为法学专业的，得2分；博士研究生学历为法学专业的，得3分。</w:t>
            </w:r>
            <w:r>
              <w:rPr>
                <w:rFonts w:hint="eastAsia" w:asciiTheme="minorEastAsia" w:hAnsiTheme="minorEastAsia"/>
                <w:color w:val="000000"/>
                <w:sz w:val="24"/>
                <w:u w:val="none"/>
              </w:rPr>
              <w:t>（响应单位需列表说明）（满分3分）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7</w:t>
            </w:r>
          </w:p>
        </w:tc>
        <w:tc>
          <w:tcPr>
            <w:tcW w:w="1047" w:type="dxa"/>
            <w:vMerge w:val="continue"/>
            <w:vAlign w:val="center"/>
          </w:tcPr>
          <w:p>
            <w:pPr>
              <w:spacing w:line="320" w:lineRule="exact"/>
              <w:jc w:val="left"/>
              <w:rPr>
                <w:rFonts w:eastAsia="Times New Roman" w:asciiTheme="minorEastAsia" w:hAnsiTheme="minorEastAsia" w:cstheme="minorEastAsia"/>
                <w:sz w:val="24"/>
                <w:u w:val="none"/>
              </w:rPr>
            </w:pPr>
          </w:p>
        </w:tc>
        <w:tc>
          <w:tcPr>
            <w:tcW w:w="4339"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3）律师执业年限。常年法律顾问律师具有10年(含)以上、15年以下行政法律服务执业经验，得1分；具有15年(含)以上、20年以下行政法律服务执业经验，得2分；具有20年(含)以上行政法律服务执业经验，得3分。（响应单位需列表说明，指派2名以上的，以执业年限较长律师情况为计分依据）（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8</w:t>
            </w:r>
          </w:p>
        </w:tc>
        <w:tc>
          <w:tcPr>
            <w:tcW w:w="1047" w:type="dxa"/>
            <w:vMerge w:val="continue"/>
            <w:vAlign w:val="center"/>
          </w:tcPr>
          <w:p>
            <w:pPr>
              <w:spacing w:line="320" w:lineRule="exact"/>
              <w:jc w:val="left"/>
              <w:rPr>
                <w:rFonts w:eastAsia="Times New Roman" w:asciiTheme="minorEastAsia" w:hAnsiTheme="minorEastAsia" w:cstheme="minorEastAsia"/>
                <w:sz w:val="24"/>
                <w:u w:val="none"/>
              </w:rPr>
            </w:pPr>
          </w:p>
        </w:tc>
        <w:tc>
          <w:tcPr>
            <w:tcW w:w="4339"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4）指派常年法律顾问律师目前担任各级政府或部门法律顾问数量。每位律师担任政府或部门法律顾问10家（含）以上的，得2分；担任3家（含）-10家的，得1分；不足3家的，不得分。（响应单位需列表说明，并附相关证明，按各位被指派律师担任政府法律顾问情况累计评分）（满分6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34" w:type="dxa"/>
            <w:vAlign w:val="center"/>
          </w:tcPr>
          <w:p>
            <w:pPr>
              <w:spacing w:line="320" w:lineRule="exact"/>
              <w:jc w:val="center"/>
              <w:rPr>
                <w:rFonts w:eastAsia="宋体" w:asciiTheme="minorEastAsia" w:hAnsiTheme="minorEastAsia" w:cstheme="minorEastAsia"/>
                <w:sz w:val="24"/>
                <w:u w:val="none"/>
              </w:rPr>
            </w:pPr>
            <w:r>
              <w:rPr>
                <w:rFonts w:hint="eastAsia" w:eastAsia="宋体" w:asciiTheme="minorEastAsia" w:hAnsiTheme="minorEastAsia" w:cstheme="minorEastAsia"/>
                <w:sz w:val="24"/>
                <w:u w:val="none"/>
              </w:rPr>
              <w:t>9</w:t>
            </w:r>
          </w:p>
        </w:tc>
        <w:tc>
          <w:tcPr>
            <w:tcW w:w="1047" w:type="dxa"/>
            <w:vMerge w:val="restart"/>
            <w:vAlign w:val="center"/>
          </w:tcPr>
          <w:p>
            <w:pPr>
              <w:spacing w:line="320" w:lineRule="exact"/>
              <w:jc w:val="left"/>
              <w:rPr>
                <w:rFonts w:eastAsia="Times New Roman" w:asciiTheme="minorEastAsia" w:hAnsiTheme="minorEastAsia" w:cstheme="minorEastAsia"/>
                <w:sz w:val="24"/>
                <w:u w:val="none"/>
              </w:rPr>
            </w:pPr>
            <w:r>
              <w:rPr>
                <w:rFonts w:hint="eastAsia" w:eastAsia="Times New Roman" w:asciiTheme="minorEastAsia" w:hAnsiTheme="minorEastAsia" w:cstheme="minorEastAsia"/>
                <w:sz w:val="24"/>
                <w:u w:val="none"/>
              </w:rPr>
              <w:t>其他律师服务能力（9分）</w:t>
            </w:r>
          </w:p>
        </w:tc>
        <w:tc>
          <w:tcPr>
            <w:tcW w:w="4339"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（1）服务人数。除项目负责人、常年法律顾问律师外，响应单位另指派1名律师承办政府采购专项法律服务或诉讼应诉代理服务的，得1分；每再增加1名的，得1分。（响应单位需列表说明）（满分3分）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534" w:type="dxa"/>
            <w:vAlign w:val="center"/>
          </w:tcPr>
          <w:p>
            <w:pPr>
              <w:spacing w:line="320" w:lineRule="exact"/>
              <w:jc w:val="center"/>
              <w:rPr>
                <w:rFonts w:eastAsia="宋体" w:asciiTheme="minorEastAsia" w:hAnsiTheme="minorEastAsia" w:cstheme="minorEastAsia"/>
                <w:sz w:val="24"/>
                <w:u w:val="none"/>
              </w:rPr>
            </w:pPr>
            <w:r>
              <w:rPr>
                <w:rFonts w:hint="eastAsia" w:eastAsia="宋体" w:asciiTheme="minorEastAsia" w:hAnsiTheme="minorEastAsia" w:cstheme="minorEastAsia"/>
                <w:sz w:val="24"/>
                <w:u w:val="none"/>
              </w:rPr>
              <w:t>10</w:t>
            </w:r>
          </w:p>
        </w:tc>
        <w:tc>
          <w:tcPr>
            <w:tcW w:w="1047" w:type="dxa"/>
            <w:vMerge w:val="continue"/>
            <w:vAlign w:val="center"/>
          </w:tcPr>
          <w:p>
            <w:pPr>
              <w:spacing w:line="320" w:lineRule="exact"/>
              <w:jc w:val="left"/>
              <w:rPr>
                <w:rFonts w:eastAsia="Times New Roman" w:asciiTheme="minorEastAsia" w:hAnsiTheme="minorEastAsia" w:cstheme="minorEastAsia"/>
                <w:sz w:val="24"/>
                <w:u w:val="none"/>
              </w:rPr>
            </w:pPr>
          </w:p>
        </w:tc>
        <w:tc>
          <w:tcPr>
            <w:tcW w:w="4339"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2）法学教育背景。其他律师本科学历为法学专业的，得1分；硕士研究生学历为法学专业的，得2分；博士研究生学历为法学专业的，得3分。（响应单位需列表说明，并附相关证书复印件，指派其他律师2名以上的，以法学专业最高学历的律师情况为计分依据）（满分3分）</w:t>
            </w:r>
          </w:p>
        </w:tc>
        <w:tc>
          <w:tcPr>
            <w:tcW w:w="2169"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bl>
    <w:p>
      <w:pPr>
        <w:spacing w:line="520" w:lineRule="exact"/>
        <w:ind w:firstLine="480" w:firstLineChars="200"/>
        <w:jc w:val="left"/>
        <w:rPr>
          <w:rFonts w:cs="仿宋" w:asciiTheme="minorEastAsia" w:hAnsiTheme="minorEastAsia"/>
          <w:sz w:val="24"/>
          <w:u w:val="none"/>
        </w:rPr>
      </w:pPr>
    </w:p>
    <w:tbl>
      <w:tblPr>
        <w:tblStyle w:val="5"/>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5"/>
        <w:gridCol w:w="4515"/>
        <w:gridCol w:w="205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序号</w:t>
            </w:r>
          </w:p>
        </w:tc>
        <w:tc>
          <w:tcPr>
            <w:tcW w:w="985"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评分</w:t>
            </w:r>
          </w:p>
          <w:p>
            <w:pPr>
              <w:spacing w:line="320" w:lineRule="exact"/>
              <w:jc w:val="center"/>
              <w:rPr>
                <w:rFonts w:ascii="黑体" w:hAnsi="黑体" w:eastAsia="黑体" w:cs="黑体"/>
                <w:sz w:val="24"/>
                <w:u w:val="none"/>
              </w:rPr>
            </w:pPr>
            <w:r>
              <w:rPr>
                <w:rFonts w:hint="eastAsia" w:ascii="黑体" w:hAnsi="黑体" w:eastAsia="黑体" w:cs="黑体"/>
                <w:sz w:val="24"/>
                <w:u w:val="none"/>
              </w:rPr>
              <w:t>类型</w:t>
            </w:r>
          </w:p>
        </w:tc>
        <w:tc>
          <w:tcPr>
            <w:tcW w:w="4515"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技术要求</w:t>
            </w:r>
          </w:p>
        </w:tc>
        <w:tc>
          <w:tcPr>
            <w:tcW w:w="2055"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响应情况</w:t>
            </w:r>
          </w:p>
        </w:tc>
        <w:tc>
          <w:tcPr>
            <w:tcW w:w="106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eastAsia="宋体" w:asciiTheme="minorEastAsia" w:hAnsiTheme="minorEastAsia" w:cstheme="minorEastAsia"/>
                <w:sz w:val="24"/>
                <w:u w:val="none"/>
              </w:rPr>
              <w:t>11</w:t>
            </w:r>
          </w:p>
        </w:tc>
        <w:tc>
          <w:tcPr>
            <w:tcW w:w="985" w:type="dxa"/>
            <w:vAlign w:val="center"/>
          </w:tcPr>
          <w:p>
            <w:pPr>
              <w:spacing w:line="320" w:lineRule="exact"/>
              <w:jc w:val="center"/>
              <w:rPr>
                <w:rFonts w:ascii="黑体" w:hAnsi="黑体" w:eastAsia="黑体" w:cs="黑体"/>
                <w:sz w:val="24"/>
                <w:u w:val="none"/>
              </w:rPr>
            </w:pPr>
            <w:r>
              <w:rPr>
                <w:rFonts w:hint="eastAsia" w:eastAsia="Times New Roman" w:asciiTheme="minorEastAsia" w:hAnsiTheme="minorEastAsia" w:cstheme="minorEastAsia"/>
                <w:sz w:val="24"/>
                <w:u w:val="none"/>
              </w:rPr>
              <w:t>其他律师服务能力（9分）</w:t>
            </w:r>
          </w:p>
        </w:tc>
        <w:tc>
          <w:tcPr>
            <w:tcW w:w="4515" w:type="dxa"/>
            <w:vAlign w:val="center"/>
          </w:tcPr>
          <w:p>
            <w:pPr>
              <w:spacing w:line="320" w:lineRule="exact"/>
              <w:jc w:val="left"/>
              <w:rPr>
                <w:rFonts w:ascii="黑体" w:hAnsi="黑体" w:eastAsia="黑体" w:cs="黑体"/>
                <w:sz w:val="24"/>
                <w:u w:val="none"/>
              </w:rPr>
            </w:pPr>
            <w:r>
              <w:rPr>
                <w:rFonts w:hint="eastAsia" w:asciiTheme="minorEastAsia" w:hAnsiTheme="minorEastAsia"/>
                <w:color w:val="000000"/>
                <w:sz w:val="24"/>
                <w:u w:val="none"/>
              </w:rPr>
              <w:t>（3）律师执业年限。其他律师具有3年（含）以上、5年以下行政法律服务执业经验，得1分；具有5年（含）以上、10年以下行政法律服务执业经验，得2分；具有10年（含）以上行政法律服务执业经验，得3分。（响应单位需列表说明，指派其他律师2名以上的，以最高执业经验的律师情况为计分依据）（满分3分）</w:t>
            </w:r>
          </w:p>
        </w:tc>
        <w:tc>
          <w:tcPr>
            <w:tcW w:w="2055" w:type="dxa"/>
            <w:vAlign w:val="center"/>
          </w:tcPr>
          <w:p>
            <w:pPr>
              <w:spacing w:line="320" w:lineRule="exact"/>
              <w:jc w:val="center"/>
              <w:rPr>
                <w:rFonts w:ascii="黑体" w:hAnsi="黑体" w:eastAsia="黑体" w:cs="黑体"/>
                <w:sz w:val="24"/>
                <w:u w:val="none"/>
              </w:rPr>
            </w:pPr>
          </w:p>
        </w:tc>
        <w:tc>
          <w:tcPr>
            <w:tcW w:w="1069" w:type="dxa"/>
            <w:vAlign w:val="center"/>
          </w:tcPr>
          <w:p>
            <w:pPr>
              <w:spacing w:line="320" w:lineRule="exact"/>
              <w:jc w:val="center"/>
              <w:rPr>
                <w:rFonts w:ascii="黑体" w:hAnsi="黑体" w:eastAsia="黑体" w:cs="黑体"/>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4" w:type="dxa"/>
            <w:vAlign w:val="center"/>
          </w:tcPr>
          <w:p>
            <w:pPr>
              <w:spacing w:line="320" w:lineRule="exact"/>
              <w:jc w:val="center"/>
              <w:rPr>
                <w:rFonts w:asciiTheme="majorEastAsia" w:hAnsiTheme="majorEastAsia" w:eastAsiaTheme="majorEastAsia" w:cstheme="minorEastAsia"/>
                <w:sz w:val="24"/>
                <w:u w:val="none"/>
              </w:rPr>
            </w:pPr>
            <w:r>
              <w:rPr>
                <w:rFonts w:hint="eastAsia" w:asciiTheme="majorEastAsia" w:hAnsiTheme="majorEastAsia" w:eastAsiaTheme="majorEastAsia" w:cstheme="minorEastAsia"/>
                <w:sz w:val="24"/>
                <w:u w:val="none"/>
              </w:rPr>
              <w:t>12</w:t>
            </w:r>
          </w:p>
        </w:tc>
        <w:tc>
          <w:tcPr>
            <w:tcW w:w="985" w:type="dxa"/>
            <w:vAlign w:val="center"/>
          </w:tcPr>
          <w:p>
            <w:pPr>
              <w:spacing w:line="320" w:lineRule="exact"/>
              <w:jc w:val="center"/>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律师实质担负服务工作承诺（3分）</w:t>
            </w:r>
          </w:p>
        </w:tc>
        <w:tc>
          <w:tcPr>
            <w:tcW w:w="4515" w:type="dxa"/>
            <w:vAlign w:val="center"/>
          </w:tcPr>
          <w:p>
            <w:pPr>
              <w:spacing w:line="320" w:lineRule="exact"/>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除项目负责人外，常年法律顾问律师、其他律师需承担实质性服务工作，如协议履行过程中存在挂名或不担负实质性服务工作等情形，视为违约。对上述内容完整承诺的，得3分；承诺内容简单、基本符合上述要求的，得2分；承诺不完整的，不得分。（响应单位需出具承诺函）（满分3分）</w:t>
            </w:r>
          </w:p>
        </w:tc>
        <w:tc>
          <w:tcPr>
            <w:tcW w:w="2055"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4" w:type="dxa"/>
            <w:vAlign w:val="center"/>
          </w:tcPr>
          <w:p>
            <w:pPr>
              <w:spacing w:line="320" w:lineRule="exact"/>
              <w:jc w:val="center"/>
              <w:rPr>
                <w:rFonts w:asciiTheme="majorEastAsia" w:hAnsiTheme="majorEastAsia" w:eastAsiaTheme="majorEastAsia" w:cstheme="minorEastAsia"/>
                <w:sz w:val="24"/>
                <w:u w:val="none"/>
              </w:rPr>
            </w:pPr>
            <w:r>
              <w:rPr>
                <w:rFonts w:hint="eastAsia" w:asciiTheme="majorEastAsia" w:hAnsiTheme="majorEastAsia" w:eastAsiaTheme="majorEastAsia" w:cstheme="minorEastAsia"/>
                <w:sz w:val="24"/>
                <w:u w:val="none"/>
              </w:rPr>
              <w:t>13</w:t>
            </w:r>
          </w:p>
        </w:tc>
        <w:tc>
          <w:tcPr>
            <w:tcW w:w="985" w:type="dxa"/>
            <w:vMerge w:val="restart"/>
            <w:vAlign w:val="center"/>
          </w:tcPr>
          <w:p>
            <w:pPr>
              <w:spacing w:line="320" w:lineRule="exact"/>
              <w:jc w:val="left"/>
              <w:rPr>
                <w:rFonts w:asciiTheme="majorEastAsia" w:hAnsiTheme="majorEastAsia" w:eastAsiaTheme="majorEastAsia" w:cstheme="minorEastAsia"/>
                <w:sz w:val="24"/>
                <w:u w:val="none"/>
              </w:rPr>
            </w:pPr>
            <w:r>
              <w:rPr>
                <w:rFonts w:hint="eastAsia" w:asciiTheme="majorEastAsia" w:hAnsiTheme="majorEastAsia" w:eastAsiaTheme="majorEastAsia" w:cstheme="minorEastAsia"/>
                <w:sz w:val="24"/>
                <w:u w:val="none"/>
              </w:rPr>
              <w:t>团队行政争议解决能力（9分）</w:t>
            </w:r>
          </w:p>
        </w:tc>
        <w:tc>
          <w:tcPr>
            <w:tcW w:w="4515" w:type="dxa"/>
            <w:vAlign w:val="center"/>
          </w:tcPr>
          <w:p>
            <w:pPr>
              <w:spacing w:line="320" w:lineRule="exact"/>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1）办件量。2024年代理各级政府或部门行政复议、行政诉讼应诉案件数量评分：经办过10件（含）以上案件的，得1分；经办过3件（含）-10件案件的，得0.5分；不足3件的，不得分。（响应单位需列表说明，按项目负责人和其他律师每名人员情况分别打分，最终得分累计）（满分3分）</w:t>
            </w:r>
          </w:p>
        </w:tc>
        <w:tc>
          <w:tcPr>
            <w:tcW w:w="2055"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4" w:type="dxa"/>
            <w:vAlign w:val="center"/>
          </w:tcPr>
          <w:p>
            <w:pPr>
              <w:spacing w:line="320" w:lineRule="exact"/>
              <w:jc w:val="center"/>
              <w:rPr>
                <w:rFonts w:asciiTheme="majorEastAsia" w:hAnsiTheme="majorEastAsia" w:eastAsiaTheme="majorEastAsia" w:cstheme="minorEastAsia"/>
                <w:sz w:val="24"/>
                <w:u w:val="none"/>
              </w:rPr>
            </w:pPr>
            <w:r>
              <w:rPr>
                <w:rFonts w:hint="eastAsia" w:asciiTheme="majorEastAsia" w:hAnsiTheme="majorEastAsia" w:eastAsiaTheme="majorEastAsia" w:cstheme="minorEastAsia"/>
                <w:sz w:val="24"/>
                <w:u w:val="none"/>
              </w:rPr>
              <w:t>14</w:t>
            </w:r>
          </w:p>
        </w:tc>
        <w:tc>
          <w:tcPr>
            <w:tcW w:w="985" w:type="dxa"/>
            <w:vMerge w:val="continue"/>
            <w:vAlign w:val="center"/>
          </w:tcPr>
          <w:p>
            <w:pPr>
              <w:spacing w:line="320" w:lineRule="exact"/>
              <w:jc w:val="left"/>
              <w:rPr>
                <w:rFonts w:asciiTheme="majorEastAsia" w:hAnsiTheme="majorEastAsia" w:eastAsiaTheme="majorEastAsia" w:cstheme="minorEastAsia"/>
                <w:sz w:val="24"/>
                <w:u w:val="none"/>
              </w:rPr>
            </w:pPr>
          </w:p>
        </w:tc>
        <w:tc>
          <w:tcPr>
            <w:tcW w:w="4515" w:type="dxa"/>
            <w:vAlign w:val="center"/>
          </w:tcPr>
          <w:p>
            <w:pPr>
              <w:spacing w:line="320" w:lineRule="exact"/>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2）胜诉量。2024年代理各级政府或部门行政复议、行政诉讼应诉胜诉案件数量评分：每一件胜诉案件得0.5分。（响应单位需列表说明，并附相关生效判决书复印件，按项目负责人和其他律师每名人员情况分别打分，最终得分累计）（满分3分）</w:t>
            </w:r>
          </w:p>
        </w:tc>
        <w:tc>
          <w:tcPr>
            <w:tcW w:w="2055"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4" w:type="dxa"/>
            <w:vAlign w:val="center"/>
          </w:tcPr>
          <w:p>
            <w:pPr>
              <w:spacing w:line="320" w:lineRule="exact"/>
              <w:jc w:val="center"/>
              <w:rPr>
                <w:rFonts w:asciiTheme="majorEastAsia" w:hAnsiTheme="majorEastAsia" w:eastAsiaTheme="majorEastAsia" w:cstheme="minorEastAsia"/>
                <w:sz w:val="24"/>
                <w:u w:val="none"/>
              </w:rPr>
            </w:pPr>
            <w:r>
              <w:rPr>
                <w:rFonts w:hint="eastAsia" w:asciiTheme="majorEastAsia" w:hAnsiTheme="majorEastAsia" w:eastAsiaTheme="majorEastAsia" w:cstheme="minorEastAsia"/>
                <w:sz w:val="24"/>
                <w:u w:val="none"/>
              </w:rPr>
              <w:t>15</w:t>
            </w:r>
          </w:p>
        </w:tc>
        <w:tc>
          <w:tcPr>
            <w:tcW w:w="985" w:type="dxa"/>
            <w:vMerge w:val="continue"/>
            <w:vAlign w:val="center"/>
          </w:tcPr>
          <w:p>
            <w:pPr>
              <w:spacing w:line="320" w:lineRule="exact"/>
              <w:jc w:val="left"/>
              <w:rPr>
                <w:rFonts w:asciiTheme="majorEastAsia" w:hAnsiTheme="majorEastAsia" w:eastAsiaTheme="majorEastAsia" w:cstheme="minorEastAsia"/>
                <w:sz w:val="24"/>
                <w:u w:val="none"/>
              </w:rPr>
            </w:pPr>
          </w:p>
        </w:tc>
        <w:tc>
          <w:tcPr>
            <w:tcW w:w="4515" w:type="dxa"/>
            <w:vAlign w:val="center"/>
          </w:tcPr>
          <w:p>
            <w:pPr>
              <w:spacing w:line="320" w:lineRule="exact"/>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3）胜诉率。2024年代理各级政府或部门行政复议、行政诉讼应诉胜诉案件占比评分：胜诉率100%的，得3分；胜诉率85%（含）以上的，得2分；胜诉率70%（含）以上的，得1分，其他情况不得分。（响应单位需列表说明，按项目负责人和其他律师总体情况合计打分）（满分3分）</w:t>
            </w:r>
          </w:p>
        </w:tc>
        <w:tc>
          <w:tcPr>
            <w:tcW w:w="2055" w:type="dxa"/>
            <w:vAlign w:val="center"/>
          </w:tcPr>
          <w:p>
            <w:pPr>
              <w:spacing w:line="320" w:lineRule="exact"/>
              <w:jc w:val="center"/>
              <w:rPr>
                <w:rFonts w:eastAsia="Times New Roman" w:asciiTheme="minorEastAsia" w:hAnsiTheme="minorEastAsia" w:cstheme="minorEastAsia"/>
                <w:sz w:val="24"/>
                <w:u w:val="none"/>
              </w:rPr>
            </w:pPr>
          </w:p>
        </w:tc>
        <w:tc>
          <w:tcPr>
            <w:tcW w:w="1069" w:type="dxa"/>
            <w:vAlign w:val="center"/>
          </w:tcPr>
          <w:p>
            <w:pPr>
              <w:spacing w:line="320" w:lineRule="exact"/>
              <w:jc w:val="center"/>
              <w:rPr>
                <w:rFonts w:eastAsia="Times New Roman" w:asciiTheme="minorEastAsia" w:hAnsiTheme="minorEastAsia" w:cstheme="minorEastAsia"/>
                <w:sz w:val="24"/>
                <w:u w:val="none"/>
              </w:rPr>
            </w:pPr>
          </w:p>
        </w:tc>
      </w:tr>
    </w:tbl>
    <w:p>
      <w:pPr>
        <w:spacing w:line="520" w:lineRule="exact"/>
        <w:ind w:firstLine="480" w:firstLineChars="200"/>
        <w:jc w:val="left"/>
        <w:rPr>
          <w:rFonts w:cs="仿宋" w:asciiTheme="minorEastAsia" w:hAnsiTheme="minorEastAsia"/>
          <w:sz w:val="24"/>
          <w:u w:val="none"/>
        </w:rPr>
      </w:pPr>
    </w:p>
    <w:tbl>
      <w:tblPr>
        <w:tblStyle w:val="5"/>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65"/>
        <w:gridCol w:w="4788"/>
        <w:gridCol w:w="160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序号</w:t>
            </w:r>
          </w:p>
        </w:tc>
        <w:tc>
          <w:tcPr>
            <w:tcW w:w="1165"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评分</w:t>
            </w:r>
          </w:p>
          <w:p>
            <w:pPr>
              <w:spacing w:line="320" w:lineRule="exact"/>
              <w:jc w:val="center"/>
              <w:rPr>
                <w:rFonts w:ascii="黑体" w:hAnsi="黑体" w:eastAsia="黑体" w:cs="黑体"/>
                <w:sz w:val="24"/>
                <w:u w:val="none"/>
              </w:rPr>
            </w:pPr>
            <w:r>
              <w:rPr>
                <w:rFonts w:hint="eastAsia" w:ascii="黑体" w:hAnsi="黑体" w:eastAsia="黑体" w:cs="黑体"/>
                <w:sz w:val="24"/>
                <w:u w:val="none"/>
              </w:rPr>
              <w:t>类型</w:t>
            </w:r>
          </w:p>
        </w:tc>
        <w:tc>
          <w:tcPr>
            <w:tcW w:w="4788"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技术要求</w:t>
            </w:r>
          </w:p>
        </w:tc>
        <w:tc>
          <w:tcPr>
            <w:tcW w:w="1602"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响应情况</w:t>
            </w:r>
          </w:p>
        </w:tc>
        <w:tc>
          <w:tcPr>
            <w:tcW w:w="1069"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Theme="majorEastAsia" w:hAnsiTheme="majorEastAsia" w:eastAsiaTheme="majorEastAsia" w:cstheme="minorEastAsia"/>
                <w:sz w:val="24"/>
                <w:u w:val="none"/>
              </w:rPr>
              <w:t>16</w:t>
            </w:r>
          </w:p>
        </w:tc>
        <w:tc>
          <w:tcPr>
            <w:tcW w:w="1165" w:type="dxa"/>
            <w:vAlign w:val="center"/>
          </w:tcPr>
          <w:p>
            <w:pPr>
              <w:spacing w:line="320" w:lineRule="exact"/>
              <w:jc w:val="center"/>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团队日常培训及团队建设方案（4分）</w:t>
            </w:r>
          </w:p>
        </w:tc>
        <w:tc>
          <w:tcPr>
            <w:tcW w:w="4788" w:type="dxa"/>
            <w:vAlign w:val="center"/>
          </w:tcPr>
          <w:p>
            <w:pPr>
              <w:spacing w:line="320" w:lineRule="exact"/>
              <w:rPr>
                <w:rFonts w:cs="宋体" w:asciiTheme="majorEastAsia" w:hAnsiTheme="majorEastAsia" w:eastAsiaTheme="majorEastAsia"/>
                <w:color w:val="000000"/>
                <w:sz w:val="24"/>
                <w:u w:val="none"/>
              </w:rPr>
            </w:pPr>
            <w:r>
              <w:rPr>
                <w:rFonts w:hint="eastAsia" w:asciiTheme="majorEastAsia" w:hAnsiTheme="majorEastAsia" w:eastAsiaTheme="majorEastAsia"/>
                <w:color w:val="000000"/>
                <w:sz w:val="24"/>
                <w:u w:val="none"/>
              </w:rPr>
              <w:t>日常培训和团队建设方案内容完整全面，具有针对性，能够体现项目需求，每年至少提供2次(含)以上符合上述要求的专业能力培训和团队建设活动的，得4分；方案内容相对全面，每年提供1次符合上述要求的专业能力培训和团队建设活动的，得2分；方案内容不全面，未考虑团队人员专业需求，培训内容不符合上述要求或每年不能提供专业能力培训和团队建设活动的，得0分。（响应单位需制定相关方案）（满分4分）</w:t>
            </w:r>
          </w:p>
        </w:tc>
        <w:tc>
          <w:tcPr>
            <w:tcW w:w="1602" w:type="dxa"/>
            <w:vAlign w:val="center"/>
          </w:tcPr>
          <w:p>
            <w:pPr>
              <w:spacing w:line="320" w:lineRule="exact"/>
              <w:jc w:val="center"/>
              <w:rPr>
                <w:rFonts w:ascii="黑体" w:hAnsi="黑体" w:eastAsia="黑体" w:cs="黑体"/>
                <w:sz w:val="24"/>
                <w:u w:val="none"/>
              </w:rPr>
            </w:pPr>
          </w:p>
        </w:tc>
        <w:tc>
          <w:tcPr>
            <w:tcW w:w="1069" w:type="dxa"/>
            <w:vAlign w:val="center"/>
          </w:tcPr>
          <w:p>
            <w:pPr>
              <w:spacing w:line="320" w:lineRule="exact"/>
              <w:jc w:val="center"/>
              <w:rPr>
                <w:rFonts w:ascii="黑体" w:hAnsi="黑体" w:eastAsia="黑体" w:cs="黑体"/>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17</w:t>
            </w:r>
          </w:p>
        </w:tc>
        <w:tc>
          <w:tcPr>
            <w:tcW w:w="1165"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回避应急预案及协助承诺（4分）</w:t>
            </w:r>
          </w:p>
        </w:tc>
        <w:tc>
          <w:tcPr>
            <w:tcW w:w="4788"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需提供法律诉讼服务因回避不损害</w:t>
            </w:r>
            <w:r>
              <w:rPr>
                <w:rFonts w:hint="eastAsia" w:asciiTheme="minorEastAsia" w:hAnsiTheme="minorEastAsia"/>
                <w:color w:val="000000"/>
                <w:sz w:val="24"/>
                <w:u w:val="none"/>
                <w:lang w:eastAsia="zh-CN"/>
              </w:rPr>
              <w:t>泉州</w:t>
            </w:r>
            <w:r>
              <w:rPr>
                <w:rFonts w:hint="eastAsia" w:asciiTheme="minorEastAsia" w:hAnsiTheme="minorEastAsia"/>
                <w:color w:val="000000"/>
                <w:sz w:val="24"/>
                <w:u w:val="none"/>
              </w:rPr>
              <w:t>市财政局权益承诺。在代理泉州市财政局行政复议、行政诉讼、民事诉讼等应诉案件中，出现因响应单位或其指派律师原因导致依法应当回避情形时，应当立即书面报告泉州市财政局，由泉州市财政局联系成交候选供应商位协助承办案件。协助泉州市财政局做好案件交接工作。对泉州市财政局造成的损失、妨碍，应当依法给予补偿、补救。对上述内容制定完整预案并作承诺的，得4分；虽制定预案，但描述简单、基本符合上述要求的，得2分；未制定预案、或预案、承诺不完整的，不得分。（响应单位需制定回避应急预案并作出承诺）（满分4分）</w:t>
            </w:r>
          </w:p>
        </w:tc>
        <w:tc>
          <w:tcPr>
            <w:tcW w:w="1602" w:type="dxa"/>
            <w:vAlign w:val="center"/>
          </w:tcPr>
          <w:p>
            <w:pPr>
              <w:spacing w:line="320" w:lineRule="exact"/>
              <w:jc w:val="center"/>
              <w:rPr>
                <w:rFonts w:asciiTheme="minorEastAsia" w:hAnsiTheme="minorEastAsia" w:cstheme="minorEastAsia"/>
                <w:sz w:val="24"/>
                <w:u w:val="none"/>
              </w:rPr>
            </w:pPr>
          </w:p>
        </w:tc>
        <w:tc>
          <w:tcPr>
            <w:tcW w:w="1069" w:type="dxa"/>
            <w:vAlign w:val="center"/>
          </w:tcPr>
          <w:p>
            <w:pPr>
              <w:spacing w:line="320" w:lineRule="exact"/>
              <w:jc w:val="center"/>
              <w:rPr>
                <w:rFonts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18</w:t>
            </w:r>
          </w:p>
        </w:tc>
        <w:tc>
          <w:tcPr>
            <w:tcW w:w="1165"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人员调整预案（4分）</w:t>
            </w:r>
          </w:p>
        </w:tc>
        <w:tc>
          <w:tcPr>
            <w:tcW w:w="4788" w:type="dxa"/>
            <w:vAlign w:val="center"/>
          </w:tcPr>
          <w:p>
            <w:pPr>
              <w:spacing w:line="320" w:lineRule="exact"/>
              <w:rPr>
                <w:rFonts w:asciiTheme="minorEastAsia" w:hAnsiTheme="minorEastAsia"/>
                <w:color w:val="000000"/>
                <w:sz w:val="24"/>
                <w:u w:val="none"/>
              </w:rPr>
            </w:pPr>
            <w:r>
              <w:rPr>
                <w:rFonts w:hint="eastAsia" w:asciiTheme="minorEastAsia" w:hAnsiTheme="minorEastAsia"/>
                <w:color w:val="000000"/>
                <w:sz w:val="24"/>
                <w:u w:val="none"/>
              </w:rPr>
              <w:t>配合泉州市财政局对指派人员进行管理。项目负责人、常年法律顾问律师和其他律师若需更换，须经泉州市财政局同意。调整人数一次不得超过1名，调整频率不得低于半年。若服务过程中，泉州市财政局认为律师事务所指派律师不能胜任或出现其他不宜继续履职的情形，泉州市财政局有权要求律师事务所更换。律师事务所应当在接到市财政局的上述要求后5个工作日内予以更换。拟调整人员仍应当符合上述有关指派条件。对上述内容制定完整预案的，得4分；虽制定预案，但描述简单、基本符合上述要求的，得2分；调整预案不完整的，不得分。（响应单位需制定人员调整预案）（满分4分）</w:t>
            </w:r>
          </w:p>
        </w:tc>
        <w:tc>
          <w:tcPr>
            <w:tcW w:w="1602" w:type="dxa"/>
            <w:vAlign w:val="center"/>
          </w:tcPr>
          <w:p>
            <w:pPr>
              <w:spacing w:line="320" w:lineRule="exact"/>
              <w:jc w:val="center"/>
              <w:rPr>
                <w:rFonts w:asciiTheme="minorEastAsia" w:hAnsiTheme="minorEastAsia" w:cstheme="minorEastAsia"/>
                <w:sz w:val="24"/>
                <w:u w:val="none"/>
              </w:rPr>
            </w:pPr>
          </w:p>
        </w:tc>
        <w:tc>
          <w:tcPr>
            <w:tcW w:w="1069" w:type="dxa"/>
            <w:vAlign w:val="center"/>
          </w:tcPr>
          <w:p>
            <w:pPr>
              <w:spacing w:line="320" w:lineRule="exact"/>
              <w:jc w:val="center"/>
              <w:rPr>
                <w:rFonts w:asciiTheme="minorEastAsia" w:hAnsiTheme="minorEastAsia" w:cstheme="minorEastAsia"/>
                <w:sz w:val="24"/>
                <w:u w:val="none"/>
              </w:rPr>
            </w:pPr>
          </w:p>
        </w:tc>
      </w:tr>
    </w:tbl>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备注：（1）技术要求部分评分满分60分，其中第1-7项、第9-15项评分分值均为3分，第8项评分分值6分，第16-18项评分分值均为4分。</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（2）“响应情况”项下应填写具体的响应内容，并与“技术要求”项下填写的内容逐项对应。</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（3）“是否偏离及说明”项下应按下列规定填写：优于的，填写“正偏离”；符合的，填写“无偏离”；低于的，填写“负偏离”。</w:t>
      </w:r>
    </w:p>
    <w:p>
      <w:pPr>
        <w:spacing w:line="520" w:lineRule="exact"/>
        <w:ind w:firstLine="640" w:firstLineChars="200"/>
        <w:jc w:val="left"/>
        <w:rPr>
          <w:rFonts w:hint="eastAsia" w:ascii="楷体_GB2312" w:hAnsi="楷体_GB2312" w:eastAsia="楷体_GB2312" w:cs="楷体_GB2312"/>
          <w:b w:val="0"/>
          <w:bCs/>
          <w:sz w:val="32"/>
          <w:szCs w:val="32"/>
          <w:u w:val="none"/>
        </w:rPr>
      </w:pPr>
      <w:r>
        <w:rPr>
          <w:rFonts w:hint="eastAsia" w:ascii="楷体_GB2312" w:hAnsi="楷体_GB2312" w:eastAsia="楷体_GB2312" w:cs="楷体_GB2312"/>
          <w:b w:val="0"/>
          <w:bCs/>
          <w:sz w:val="32"/>
          <w:szCs w:val="32"/>
          <w:u w:val="none"/>
          <w:lang w:eastAsia="zh-CN"/>
        </w:rPr>
        <w:t>（三）</w:t>
      </w:r>
      <w:r>
        <w:rPr>
          <w:rFonts w:hint="eastAsia" w:ascii="楷体_GB2312" w:hAnsi="楷体_GB2312" w:eastAsia="楷体_GB2312" w:cs="楷体_GB2312"/>
          <w:b w:val="0"/>
          <w:bCs/>
          <w:sz w:val="32"/>
          <w:szCs w:val="32"/>
          <w:u w:val="none"/>
        </w:rPr>
        <w:t>商务响应情况（满分30分）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4381"/>
        <w:gridCol w:w="199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序号</w:t>
            </w:r>
          </w:p>
        </w:tc>
        <w:tc>
          <w:tcPr>
            <w:tcW w:w="11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评分</w:t>
            </w:r>
          </w:p>
          <w:p>
            <w:pPr>
              <w:spacing w:line="320" w:lineRule="exact"/>
              <w:jc w:val="center"/>
              <w:rPr>
                <w:rFonts w:ascii="黑体" w:hAnsi="黑体" w:eastAsia="黑体" w:cs="黑体"/>
                <w:sz w:val="24"/>
                <w:u w:val="none"/>
              </w:rPr>
            </w:pPr>
            <w:r>
              <w:rPr>
                <w:rFonts w:hint="eastAsia" w:ascii="黑体" w:hAnsi="黑体" w:eastAsia="黑体" w:cs="黑体"/>
                <w:sz w:val="24"/>
                <w:u w:val="none"/>
              </w:rPr>
              <w:t>类型</w:t>
            </w:r>
          </w:p>
        </w:tc>
        <w:tc>
          <w:tcPr>
            <w:tcW w:w="4381"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商务要求</w:t>
            </w:r>
          </w:p>
        </w:tc>
        <w:tc>
          <w:tcPr>
            <w:tcW w:w="1997" w:type="dxa"/>
            <w:vAlign w:val="center"/>
          </w:tcPr>
          <w:p>
            <w:pPr>
              <w:spacing w:line="380" w:lineRule="exact"/>
              <w:jc w:val="center"/>
              <w:rPr>
                <w:rFonts w:ascii="黑体" w:hAnsi="黑体" w:eastAsia="黑体" w:cs="黑体"/>
                <w:sz w:val="24"/>
                <w:u w:val="none"/>
              </w:rPr>
            </w:pPr>
            <w:r>
              <w:rPr>
                <w:rFonts w:hint="eastAsia" w:ascii="黑体" w:hAnsi="黑体" w:eastAsia="黑体" w:cs="黑体"/>
                <w:sz w:val="24"/>
                <w:u w:val="none"/>
              </w:rPr>
              <w:t>响应情况</w:t>
            </w:r>
          </w:p>
        </w:tc>
        <w:tc>
          <w:tcPr>
            <w:tcW w:w="993" w:type="dxa"/>
            <w:vAlign w:val="center"/>
          </w:tcPr>
          <w:p>
            <w:pPr>
              <w:spacing w:line="380" w:lineRule="exact"/>
              <w:jc w:val="center"/>
              <w:rPr>
                <w:rFonts w:ascii="黑体" w:hAnsi="黑体" w:eastAsia="黑体" w:cs="黑体"/>
                <w:sz w:val="24"/>
                <w:u w:val="none"/>
              </w:rPr>
            </w:pPr>
            <w:r>
              <w:rPr>
                <w:rFonts w:hint="eastAsia" w:ascii="黑体" w:hAnsi="黑体" w:eastAsia="黑体" w:cs="黑体"/>
                <w:sz w:val="24"/>
                <w:u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1</w:t>
            </w:r>
          </w:p>
        </w:tc>
        <w:tc>
          <w:tcPr>
            <w:tcW w:w="1134"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响应单位向经济管理部门提供法律服务业绩（6分）</w:t>
            </w:r>
          </w:p>
        </w:tc>
        <w:tc>
          <w:tcPr>
            <w:tcW w:w="4381"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响应单位曾担任省、市级财政、发改、工信、商务、审计、国资、医保、金融、税务部门（以下简称“经济管理部门”）法律顾问的，1家省级单位得1分，1家市级单位得0.5分。（响应单位需列表说明，并附相关单位证明）（满分6分）</w:t>
            </w:r>
          </w:p>
        </w:tc>
        <w:tc>
          <w:tcPr>
            <w:tcW w:w="1997" w:type="dxa"/>
            <w:vAlign w:val="center"/>
          </w:tcPr>
          <w:p>
            <w:pPr>
              <w:spacing w:line="380" w:lineRule="exact"/>
              <w:jc w:val="center"/>
              <w:rPr>
                <w:rFonts w:eastAsia="Times New Roman" w:asciiTheme="minorEastAsia" w:hAnsiTheme="minorEastAsia" w:cstheme="minorEastAsia"/>
                <w:sz w:val="24"/>
                <w:u w:val="none"/>
              </w:rPr>
            </w:pPr>
          </w:p>
        </w:tc>
        <w:tc>
          <w:tcPr>
            <w:tcW w:w="993" w:type="dxa"/>
            <w:vAlign w:val="center"/>
          </w:tcPr>
          <w:p>
            <w:pPr>
              <w:spacing w:line="38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2</w:t>
            </w:r>
          </w:p>
        </w:tc>
        <w:tc>
          <w:tcPr>
            <w:tcW w:w="1134"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常年法律顾问律师服务业绩（6分）</w:t>
            </w:r>
          </w:p>
        </w:tc>
        <w:tc>
          <w:tcPr>
            <w:tcW w:w="4381"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拟指派的常年法律顾问律师曾被县级政府聘请作为兼职法律顾问的，得1分；曾被市级政府聘请作为兼职法律顾问的，得2分；曾被省级及以上政府聘请作为兼职法律顾问的，得3分。（响应单位需列表说明，并附相关证书、文件复印件）（满分6分）</w:t>
            </w:r>
          </w:p>
        </w:tc>
        <w:tc>
          <w:tcPr>
            <w:tcW w:w="1997" w:type="dxa"/>
            <w:vAlign w:val="center"/>
          </w:tcPr>
          <w:p>
            <w:pPr>
              <w:spacing w:line="380" w:lineRule="exact"/>
              <w:jc w:val="center"/>
              <w:rPr>
                <w:rFonts w:eastAsia="Times New Roman" w:asciiTheme="minorEastAsia" w:hAnsiTheme="minorEastAsia" w:cstheme="minorEastAsia"/>
                <w:sz w:val="24"/>
                <w:u w:val="none"/>
              </w:rPr>
            </w:pPr>
          </w:p>
        </w:tc>
        <w:tc>
          <w:tcPr>
            <w:tcW w:w="993" w:type="dxa"/>
            <w:vAlign w:val="center"/>
          </w:tcPr>
          <w:p>
            <w:pPr>
              <w:spacing w:line="380" w:lineRule="exact"/>
              <w:jc w:val="center"/>
              <w:rPr>
                <w:rFonts w:eastAsia="Times New Roman" w:asciiTheme="minorEastAsia" w:hAnsiTheme="minorEastAsia" w:cs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3</w:t>
            </w:r>
          </w:p>
        </w:tc>
        <w:tc>
          <w:tcPr>
            <w:tcW w:w="1134"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团队科研能力业绩（6分）</w:t>
            </w:r>
          </w:p>
        </w:tc>
        <w:tc>
          <w:tcPr>
            <w:tcW w:w="4381"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法律顾问团队就经济管理领域法律问题、政府采购投诉处理、行政复议、行政应诉等方面研究成果数量评分：每在国家级或省级刊物公开发表过一篇相关论文得1分，每出版过一本专著得2分。</w:t>
            </w:r>
            <w:r>
              <w:rPr>
                <w:rFonts w:hint="eastAsia" w:asciiTheme="minorEastAsia" w:hAnsiTheme="minorEastAsia"/>
                <w:color w:val="000000"/>
                <w:sz w:val="24"/>
                <w:u w:val="none"/>
              </w:rPr>
              <w:br w:type="textWrapping"/>
            </w:r>
            <w:r>
              <w:rPr>
                <w:rFonts w:hint="eastAsia" w:asciiTheme="minorEastAsia" w:hAnsiTheme="minorEastAsia"/>
                <w:color w:val="000000"/>
                <w:sz w:val="24"/>
                <w:u w:val="none"/>
              </w:rPr>
              <w:t>（</w:t>
            </w:r>
            <w:r>
              <w:rPr>
                <w:rFonts w:hint="eastAsia" w:asciiTheme="minorEastAsia" w:hAnsiTheme="minorEastAsia"/>
                <w:color w:val="000000"/>
                <w:sz w:val="24"/>
                <w:u w:val="none"/>
                <w:lang w:eastAsia="zh-CN"/>
              </w:rPr>
              <w:t>响应单位</w:t>
            </w:r>
            <w:r>
              <w:rPr>
                <w:rFonts w:hint="eastAsia" w:asciiTheme="minorEastAsia" w:hAnsiTheme="minorEastAsia"/>
                <w:color w:val="000000"/>
                <w:sz w:val="24"/>
                <w:u w:val="none"/>
              </w:rPr>
              <w:t>需列表说明，并附相关证明材料。证明材料应是论文、专著相关部分复印件，并能体现团队人员身份信息，按项目负责人和其他律师每名人员情况分别打分，最终得分累计）（满分6分）</w:t>
            </w:r>
          </w:p>
        </w:tc>
        <w:tc>
          <w:tcPr>
            <w:tcW w:w="1997" w:type="dxa"/>
            <w:vAlign w:val="center"/>
          </w:tcPr>
          <w:p>
            <w:pPr>
              <w:spacing w:line="380" w:lineRule="exact"/>
              <w:jc w:val="center"/>
              <w:rPr>
                <w:rFonts w:eastAsia="Times New Roman" w:asciiTheme="minorEastAsia" w:hAnsiTheme="minorEastAsia" w:cstheme="minorEastAsia"/>
                <w:sz w:val="24"/>
                <w:u w:val="none"/>
              </w:rPr>
            </w:pPr>
          </w:p>
        </w:tc>
        <w:tc>
          <w:tcPr>
            <w:tcW w:w="993" w:type="dxa"/>
            <w:vAlign w:val="center"/>
          </w:tcPr>
          <w:p>
            <w:pPr>
              <w:spacing w:line="380" w:lineRule="exact"/>
              <w:jc w:val="center"/>
              <w:rPr>
                <w:rFonts w:eastAsia="Times New Roman" w:asciiTheme="minorEastAsia" w:hAnsiTheme="minorEastAsia" w:cstheme="minorEastAsia"/>
                <w:sz w:val="24"/>
                <w:u w:val="none"/>
              </w:rPr>
            </w:pPr>
          </w:p>
        </w:tc>
      </w:tr>
    </w:tbl>
    <w:p>
      <w:pPr>
        <w:spacing w:line="520" w:lineRule="exact"/>
        <w:ind w:firstLine="480" w:firstLineChars="200"/>
        <w:jc w:val="left"/>
        <w:rPr>
          <w:rFonts w:cs="仿宋" w:asciiTheme="minorEastAsia" w:hAnsiTheme="minorEastAsia"/>
          <w:sz w:val="24"/>
          <w:u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4252"/>
        <w:gridCol w:w="212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序号</w:t>
            </w:r>
          </w:p>
        </w:tc>
        <w:tc>
          <w:tcPr>
            <w:tcW w:w="1134"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评分</w:t>
            </w:r>
          </w:p>
          <w:p>
            <w:pPr>
              <w:spacing w:line="320" w:lineRule="exact"/>
              <w:jc w:val="center"/>
              <w:rPr>
                <w:rFonts w:ascii="黑体" w:hAnsi="黑体" w:eastAsia="黑体" w:cs="黑体"/>
                <w:sz w:val="24"/>
                <w:u w:val="none"/>
              </w:rPr>
            </w:pPr>
            <w:r>
              <w:rPr>
                <w:rFonts w:hint="eastAsia" w:ascii="黑体" w:hAnsi="黑体" w:eastAsia="黑体" w:cs="黑体"/>
                <w:sz w:val="24"/>
                <w:u w:val="none"/>
              </w:rPr>
              <w:t>类型</w:t>
            </w:r>
          </w:p>
        </w:tc>
        <w:tc>
          <w:tcPr>
            <w:tcW w:w="4252" w:type="dxa"/>
            <w:vAlign w:val="center"/>
          </w:tcPr>
          <w:p>
            <w:pPr>
              <w:spacing w:line="320" w:lineRule="exact"/>
              <w:jc w:val="center"/>
              <w:rPr>
                <w:rFonts w:ascii="黑体" w:hAnsi="黑体" w:eastAsia="黑体" w:cs="黑体"/>
                <w:sz w:val="24"/>
                <w:u w:val="none"/>
              </w:rPr>
            </w:pPr>
            <w:r>
              <w:rPr>
                <w:rFonts w:hint="eastAsia" w:ascii="黑体" w:hAnsi="黑体" w:eastAsia="黑体" w:cs="黑体"/>
                <w:sz w:val="24"/>
                <w:u w:val="none"/>
              </w:rPr>
              <w:t>商务要求</w:t>
            </w:r>
          </w:p>
        </w:tc>
        <w:tc>
          <w:tcPr>
            <w:tcW w:w="2126" w:type="dxa"/>
            <w:vAlign w:val="center"/>
          </w:tcPr>
          <w:p>
            <w:pPr>
              <w:spacing w:line="380" w:lineRule="exact"/>
              <w:jc w:val="center"/>
              <w:rPr>
                <w:rFonts w:ascii="黑体" w:hAnsi="黑体" w:eastAsia="黑体" w:cs="黑体"/>
                <w:sz w:val="24"/>
                <w:u w:val="none"/>
              </w:rPr>
            </w:pPr>
            <w:r>
              <w:rPr>
                <w:rFonts w:hint="eastAsia" w:ascii="黑体" w:hAnsi="黑体" w:eastAsia="黑体" w:cs="黑体"/>
                <w:sz w:val="24"/>
                <w:u w:val="none"/>
              </w:rPr>
              <w:t>响应情况</w:t>
            </w:r>
          </w:p>
        </w:tc>
        <w:tc>
          <w:tcPr>
            <w:tcW w:w="993" w:type="dxa"/>
            <w:vAlign w:val="center"/>
          </w:tcPr>
          <w:p>
            <w:pPr>
              <w:spacing w:line="380" w:lineRule="exact"/>
              <w:jc w:val="center"/>
              <w:rPr>
                <w:rFonts w:ascii="黑体" w:hAnsi="黑体" w:eastAsia="黑体" w:cs="黑体"/>
                <w:sz w:val="24"/>
                <w:u w:val="none"/>
              </w:rPr>
            </w:pPr>
            <w:r>
              <w:rPr>
                <w:rFonts w:hint="eastAsia" w:ascii="黑体" w:hAnsi="黑体" w:eastAsia="黑体" w:cs="黑体"/>
                <w:sz w:val="24"/>
                <w:u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4</w:t>
            </w:r>
          </w:p>
        </w:tc>
        <w:tc>
          <w:tcPr>
            <w:tcW w:w="1134"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高效服务承诺（6分）</w:t>
            </w:r>
          </w:p>
        </w:tc>
        <w:tc>
          <w:tcPr>
            <w:tcW w:w="4252"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政府采购专项法律服务时限承诺。一般案件不超过法定办结时限的50%，重点、疑难案件不超过法定办结时限的70%。因特殊情况不能在上述时限内完成的，应提前沟通，并在泉州市财政局采购办同意的办理期限内办结，但不得超过法定办结时限的80%。对上述内容完整承诺的，得6分，承诺不完整的，不得分。（响应单位需出具承诺函）（满分6分）</w:t>
            </w:r>
          </w:p>
        </w:tc>
        <w:tc>
          <w:tcPr>
            <w:tcW w:w="2126" w:type="dxa"/>
            <w:vAlign w:val="center"/>
          </w:tcPr>
          <w:p>
            <w:pPr>
              <w:spacing w:line="380" w:lineRule="exact"/>
              <w:jc w:val="center"/>
              <w:rPr>
                <w:rFonts w:ascii="黑体" w:hAnsi="黑体" w:eastAsia="黑体" w:cs="黑体"/>
                <w:sz w:val="24"/>
                <w:u w:val="none"/>
              </w:rPr>
            </w:pPr>
          </w:p>
        </w:tc>
        <w:tc>
          <w:tcPr>
            <w:tcW w:w="993" w:type="dxa"/>
            <w:vAlign w:val="center"/>
          </w:tcPr>
          <w:p>
            <w:pPr>
              <w:spacing w:line="380" w:lineRule="exact"/>
              <w:jc w:val="center"/>
              <w:rPr>
                <w:rFonts w:ascii="黑体" w:hAnsi="黑体" w:eastAsia="黑体" w:cs="黑体"/>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534" w:type="dxa"/>
            <w:vAlign w:val="center"/>
          </w:tcPr>
          <w:p>
            <w:pPr>
              <w:spacing w:line="320" w:lineRule="exact"/>
              <w:jc w:val="center"/>
              <w:rPr>
                <w:rFonts w:asciiTheme="minorEastAsia" w:hAnsiTheme="minorEastAsia" w:cstheme="minorEastAsia"/>
                <w:sz w:val="24"/>
                <w:u w:val="none"/>
              </w:rPr>
            </w:pPr>
            <w:r>
              <w:rPr>
                <w:rFonts w:hint="eastAsia" w:asciiTheme="minorEastAsia" w:hAnsiTheme="minorEastAsia" w:cstheme="minorEastAsia"/>
                <w:sz w:val="24"/>
                <w:u w:val="none"/>
              </w:rPr>
              <w:t>5</w:t>
            </w:r>
          </w:p>
        </w:tc>
        <w:tc>
          <w:tcPr>
            <w:tcW w:w="1134" w:type="dxa"/>
            <w:vAlign w:val="center"/>
          </w:tcPr>
          <w:p>
            <w:pPr>
              <w:spacing w:line="320" w:lineRule="exact"/>
              <w:jc w:val="center"/>
              <w:rPr>
                <w:rFonts w:cs="宋体" w:asciiTheme="minorEastAsia" w:hAnsiTheme="minorEastAsia"/>
                <w:color w:val="000000"/>
                <w:sz w:val="24"/>
                <w:u w:val="none"/>
              </w:rPr>
            </w:pPr>
            <w:r>
              <w:rPr>
                <w:rFonts w:hint="eastAsia" w:asciiTheme="minorEastAsia" w:hAnsiTheme="minorEastAsia"/>
                <w:color w:val="000000"/>
                <w:sz w:val="24"/>
                <w:u w:val="none"/>
              </w:rPr>
              <w:t>尽职审慎防范风险承诺（6分）</w:t>
            </w:r>
          </w:p>
        </w:tc>
        <w:tc>
          <w:tcPr>
            <w:tcW w:w="4252" w:type="dxa"/>
            <w:vAlign w:val="center"/>
          </w:tcPr>
          <w:p>
            <w:pPr>
              <w:spacing w:line="320" w:lineRule="exact"/>
              <w:rPr>
                <w:rFonts w:cs="宋体" w:asciiTheme="minorEastAsia" w:hAnsiTheme="minorEastAsia"/>
                <w:color w:val="000000"/>
                <w:sz w:val="24"/>
                <w:u w:val="none"/>
              </w:rPr>
            </w:pPr>
            <w:r>
              <w:rPr>
                <w:rFonts w:hint="eastAsia" w:asciiTheme="minorEastAsia" w:hAnsiTheme="minorEastAsia"/>
                <w:color w:val="000000"/>
                <w:sz w:val="24"/>
                <w:u w:val="none"/>
              </w:rPr>
              <w:t>响应单位对其组建法律服务团队服务质量承担责任承诺。督促指导法律服务团队在提供常年法律顾问服务、政府采购专项法律服务、诉讼应诉代理服务等法律服务过程中，均能遵守律师职业道德、律师执业规范，以事实为根据，以法律为准绳，尽职审慎，为泉州市财政局防范法律风险，维护财政部门合法权益和良好形象。对上述内容完整承诺的，得6分，承诺不完整的，不得分。（响应单位需出具承诺函）（满分6分）</w:t>
            </w:r>
          </w:p>
        </w:tc>
        <w:tc>
          <w:tcPr>
            <w:tcW w:w="2126" w:type="dxa"/>
            <w:vAlign w:val="center"/>
          </w:tcPr>
          <w:p>
            <w:pPr>
              <w:spacing w:line="380" w:lineRule="exact"/>
              <w:jc w:val="center"/>
              <w:rPr>
                <w:rFonts w:eastAsia="Times New Roman" w:asciiTheme="minorEastAsia" w:hAnsiTheme="minorEastAsia" w:cstheme="minorEastAsia"/>
                <w:sz w:val="24"/>
                <w:u w:val="none"/>
              </w:rPr>
            </w:pPr>
          </w:p>
        </w:tc>
        <w:tc>
          <w:tcPr>
            <w:tcW w:w="993" w:type="dxa"/>
            <w:vAlign w:val="center"/>
          </w:tcPr>
          <w:p>
            <w:pPr>
              <w:spacing w:line="380" w:lineRule="exact"/>
              <w:jc w:val="center"/>
              <w:rPr>
                <w:rFonts w:eastAsia="Times New Roman" w:asciiTheme="minorEastAsia" w:hAnsiTheme="minorEastAsia" w:cstheme="minorEastAsia"/>
                <w:sz w:val="24"/>
                <w:u w:val="none"/>
              </w:rPr>
            </w:pPr>
          </w:p>
        </w:tc>
      </w:tr>
    </w:tbl>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备注：（1）商务</w:t>
      </w:r>
      <w:r>
        <w:rPr>
          <w:rFonts w:hint="eastAsia" w:ascii="仿宋" w:hAnsi="仿宋" w:eastAsia="仿宋" w:cs="仿宋"/>
          <w:sz w:val="32"/>
          <w:szCs w:val="32"/>
          <w:u w:val="none"/>
          <w:lang w:eastAsia="zh-CN"/>
        </w:rPr>
        <w:t>要求</w:t>
      </w:r>
      <w:bookmarkStart w:id="0" w:name="_GoBack"/>
      <w:bookmarkEnd w:id="0"/>
      <w:r>
        <w:rPr>
          <w:rFonts w:hint="eastAsia" w:ascii="仿宋" w:hAnsi="仿宋" w:eastAsia="仿宋" w:cs="仿宋"/>
          <w:sz w:val="32"/>
          <w:szCs w:val="32"/>
          <w:u w:val="none"/>
        </w:rPr>
        <w:t>部分评分满分30分，第1项至第5项评标分值均为6分。</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（2）“响应情况”项下应填写具体的响应内容，并与“商务要求”项下填写的内容逐项对应。</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（3）“是否偏离及说明”项下应按下列规定填写：优于的，填写“正偏离”；符合的，填写“无偏离”；低于的，填写“负偏离”。</w:t>
      </w: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rPr>
          <w:rFonts w:ascii="黑体" w:hAnsi="黑体" w:eastAsia="黑体"/>
          <w:sz w:val="32"/>
          <w:szCs w:val="32"/>
          <w:u w:val="none"/>
        </w:rPr>
      </w:pPr>
      <w:r>
        <w:rPr>
          <w:rFonts w:hint="eastAsia" w:ascii="黑体" w:hAnsi="黑体" w:eastAsia="黑体"/>
          <w:sz w:val="32"/>
          <w:szCs w:val="32"/>
          <w:u w:val="none"/>
        </w:rPr>
        <w:t>三、对采购预算价的响应情况（含税，满分10分）</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933"/>
        <w:gridCol w:w="1611"/>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cs="黑体"/>
                <w:color w:val="000000"/>
                <w:sz w:val="32"/>
                <w:szCs w:val="32"/>
                <w:u w:val="none"/>
              </w:rPr>
            </w:pPr>
            <w:r>
              <w:rPr>
                <w:rFonts w:hint="eastAsia" w:ascii="黑体" w:hAnsi="黑体" w:eastAsia="黑体" w:cs="黑体"/>
                <w:color w:val="000000"/>
                <w:kern w:val="0"/>
                <w:sz w:val="32"/>
                <w:szCs w:val="32"/>
                <w:u w:val="none"/>
              </w:rPr>
              <w:t>序号</w:t>
            </w:r>
          </w:p>
        </w:tc>
        <w:tc>
          <w:tcPr>
            <w:tcW w:w="3544" w:type="dxa"/>
            <w:gridSpan w:val="2"/>
            <w:tcBorders>
              <w:top w:val="single" w:color="auto" w:sz="4" w:space="0"/>
              <w:left w:val="nil"/>
              <w:bottom w:val="single" w:color="auto" w:sz="4" w:space="0"/>
              <w:right w:val="single" w:color="auto" w:sz="4" w:space="0"/>
            </w:tcBorders>
            <w:vAlign w:val="center"/>
          </w:tcPr>
          <w:p>
            <w:pPr>
              <w:spacing w:line="560" w:lineRule="exact"/>
              <w:ind w:firstLine="640" w:firstLineChars="200"/>
              <w:jc w:val="center"/>
              <w:rPr>
                <w:rFonts w:ascii="黑体" w:hAnsi="黑体" w:eastAsia="黑体" w:cs="黑体"/>
                <w:color w:val="000000"/>
                <w:sz w:val="32"/>
                <w:szCs w:val="32"/>
                <w:u w:val="none"/>
              </w:rPr>
            </w:pPr>
            <w:r>
              <w:rPr>
                <w:rFonts w:hint="eastAsia" w:ascii="黑体" w:hAnsi="黑体" w:eastAsia="黑体" w:cs="黑体"/>
                <w:color w:val="000000"/>
                <w:kern w:val="0"/>
                <w:sz w:val="32"/>
                <w:szCs w:val="32"/>
                <w:u w:val="none"/>
              </w:rPr>
              <w:t>项目名称</w:t>
            </w:r>
          </w:p>
        </w:tc>
        <w:tc>
          <w:tcPr>
            <w:tcW w:w="3849" w:type="dxa"/>
            <w:tcBorders>
              <w:top w:val="single" w:color="auto" w:sz="4" w:space="0"/>
              <w:left w:val="nil"/>
              <w:bottom w:val="single" w:color="auto" w:sz="4" w:space="0"/>
              <w:right w:val="single" w:color="auto" w:sz="4" w:space="0"/>
            </w:tcBorders>
            <w:vAlign w:val="center"/>
          </w:tcPr>
          <w:p>
            <w:pPr>
              <w:spacing w:line="560" w:lineRule="exact"/>
              <w:jc w:val="center"/>
              <w:rPr>
                <w:rFonts w:ascii="黑体" w:hAnsi="黑体" w:eastAsia="黑体" w:cs="黑体"/>
                <w:color w:val="000000"/>
                <w:sz w:val="32"/>
                <w:szCs w:val="32"/>
                <w:u w:val="none"/>
              </w:rPr>
            </w:pPr>
            <w:r>
              <w:rPr>
                <w:rFonts w:hint="eastAsia" w:ascii="黑体" w:hAnsi="黑体" w:eastAsia="黑体" w:cs="黑体"/>
                <w:color w:val="000000"/>
                <w:kern w:val="0"/>
                <w:sz w:val="32"/>
                <w:szCs w:val="32"/>
                <w:u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spacing w:line="580" w:lineRule="exact"/>
              <w:ind w:firstLine="320" w:firstLineChars="100"/>
              <w:rPr>
                <w:rFonts w:ascii="仿宋_GB2312" w:hAnsi="Calibri" w:eastAsia="仿宋_GB2312" w:cs="Times New Roman"/>
                <w:color w:val="000000"/>
                <w:sz w:val="32"/>
                <w:szCs w:val="32"/>
                <w:u w:val="none"/>
              </w:rPr>
            </w:pPr>
            <w:r>
              <w:rPr>
                <w:rFonts w:hint="eastAsia" w:ascii="仿宋_GB2312" w:hAnsi="Times New Roman" w:eastAsia="仿宋_GB2312" w:cs="Times New Roman"/>
                <w:color w:val="000000"/>
                <w:kern w:val="0"/>
                <w:sz w:val="32"/>
                <w:szCs w:val="32"/>
                <w:u w:val="none"/>
              </w:rPr>
              <w:t>1</w:t>
            </w:r>
          </w:p>
        </w:tc>
        <w:tc>
          <w:tcPr>
            <w:tcW w:w="3544" w:type="dxa"/>
            <w:gridSpan w:val="2"/>
            <w:tcBorders>
              <w:top w:val="single" w:color="auto" w:sz="4" w:space="0"/>
              <w:left w:val="nil"/>
              <w:bottom w:val="single" w:color="auto" w:sz="4" w:space="0"/>
              <w:right w:val="single" w:color="auto" w:sz="4" w:space="0"/>
            </w:tcBorders>
            <w:vAlign w:val="center"/>
          </w:tcPr>
          <w:p>
            <w:pPr>
              <w:spacing w:line="580" w:lineRule="exact"/>
              <w:rPr>
                <w:rFonts w:ascii="仿宋" w:hAnsi="仿宋" w:eastAsia="仿宋" w:cs="Times New Roman"/>
                <w:kern w:val="0"/>
                <w:sz w:val="32"/>
                <w:szCs w:val="32"/>
                <w:u w:val="none"/>
              </w:rPr>
            </w:pPr>
            <w:r>
              <w:rPr>
                <w:rFonts w:hint="eastAsia" w:ascii="仿宋" w:hAnsi="仿宋" w:eastAsia="仿宋" w:cs="Times New Roman"/>
                <w:kern w:val="0"/>
                <w:sz w:val="32"/>
                <w:szCs w:val="32"/>
                <w:u w:val="none"/>
              </w:rPr>
              <w:t>常年法律顾问服务</w:t>
            </w:r>
          </w:p>
          <w:p>
            <w:pPr>
              <w:spacing w:line="580" w:lineRule="exact"/>
              <w:rPr>
                <w:rFonts w:ascii="仿宋_GB2312" w:hAnsi="Calibri" w:eastAsia="仿宋_GB2312" w:cs="Times New Roman"/>
                <w:color w:val="000000"/>
                <w:sz w:val="32"/>
                <w:szCs w:val="32"/>
                <w:u w:val="none"/>
              </w:rPr>
            </w:pPr>
            <w:r>
              <w:rPr>
                <w:rFonts w:hint="eastAsia" w:ascii="仿宋" w:hAnsi="仿宋" w:eastAsia="仿宋" w:cs="Times New Roman"/>
                <w:kern w:val="0"/>
                <w:sz w:val="32"/>
                <w:szCs w:val="32"/>
                <w:u w:val="none"/>
              </w:rPr>
              <w:t>（单位：元/年）</w:t>
            </w:r>
          </w:p>
        </w:tc>
        <w:tc>
          <w:tcPr>
            <w:tcW w:w="3849" w:type="dxa"/>
            <w:tcBorders>
              <w:top w:val="single" w:color="auto" w:sz="4" w:space="0"/>
              <w:left w:val="nil"/>
              <w:bottom w:val="single" w:color="auto" w:sz="4" w:space="0"/>
              <w:right w:val="single" w:color="auto" w:sz="4" w:space="0"/>
            </w:tcBorders>
            <w:vAlign w:val="center"/>
          </w:tcPr>
          <w:p>
            <w:pPr>
              <w:spacing w:line="580" w:lineRule="exact"/>
              <w:ind w:firstLine="640" w:firstLineChars="200"/>
              <w:rPr>
                <w:rFonts w:ascii="仿宋_GB2312" w:hAnsi="Calibri" w:eastAsia="仿宋_GB2312" w:cs="Times New Roman"/>
                <w:color w:val="000000"/>
                <w:sz w:val="32"/>
                <w:szCs w:val="32"/>
                <w:u w:val="none"/>
              </w:rPr>
            </w:pPr>
          </w:p>
          <w:p>
            <w:pPr>
              <w:spacing w:line="580" w:lineRule="exact"/>
              <w:ind w:firstLine="640" w:firstLineChars="200"/>
              <w:rPr>
                <w:rFonts w:ascii="仿宋_GB2312" w:hAnsi="Calibri" w:eastAsia="仿宋_GB2312" w:cs="Times New Roman"/>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079" w:type="dxa"/>
            <w:tcBorders>
              <w:top w:val="single" w:color="auto" w:sz="4" w:space="0"/>
              <w:left w:val="single" w:color="auto" w:sz="4" w:space="0"/>
              <w:right w:val="single" w:color="auto" w:sz="4" w:space="0"/>
            </w:tcBorders>
            <w:vAlign w:val="center"/>
          </w:tcPr>
          <w:p>
            <w:pPr>
              <w:spacing w:line="580" w:lineRule="exact"/>
              <w:ind w:firstLine="320" w:firstLineChars="100"/>
              <w:rPr>
                <w:rFonts w:ascii="仿宋_GB2312" w:hAnsi="Times New Roman" w:eastAsia="仿宋_GB2312" w:cs="Times New Roman"/>
                <w:color w:val="000000"/>
                <w:kern w:val="0"/>
                <w:sz w:val="32"/>
                <w:szCs w:val="32"/>
                <w:u w:val="none"/>
              </w:rPr>
            </w:pPr>
            <w:r>
              <w:rPr>
                <w:rFonts w:hint="eastAsia" w:ascii="仿宋_GB2312" w:hAnsi="Times New Roman" w:eastAsia="仿宋_GB2312" w:cs="Times New Roman"/>
                <w:color w:val="000000"/>
                <w:kern w:val="0"/>
                <w:sz w:val="32"/>
                <w:szCs w:val="32"/>
                <w:u w:val="none"/>
              </w:rPr>
              <w:t>2</w:t>
            </w:r>
          </w:p>
        </w:tc>
        <w:tc>
          <w:tcPr>
            <w:tcW w:w="3544" w:type="dxa"/>
            <w:gridSpan w:val="2"/>
            <w:tcBorders>
              <w:top w:val="single" w:color="auto" w:sz="4" w:space="0"/>
              <w:left w:val="nil"/>
              <w:right w:val="single" w:color="auto" w:sz="4" w:space="0"/>
            </w:tcBorders>
            <w:vAlign w:val="center"/>
          </w:tcPr>
          <w:p>
            <w:pPr>
              <w:spacing w:line="580" w:lineRule="exact"/>
              <w:rPr>
                <w:rFonts w:ascii="仿宋" w:hAnsi="仿宋" w:eastAsia="仿宋" w:cs="Times New Roman"/>
                <w:kern w:val="0"/>
                <w:sz w:val="32"/>
                <w:szCs w:val="32"/>
                <w:u w:val="none"/>
              </w:rPr>
            </w:pPr>
            <w:r>
              <w:rPr>
                <w:rFonts w:hint="eastAsia" w:ascii="仿宋" w:hAnsi="仿宋" w:eastAsia="仿宋" w:cs="Times New Roman"/>
                <w:kern w:val="0"/>
                <w:sz w:val="32"/>
                <w:szCs w:val="32"/>
                <w:u w:val="none"/>
              </w:rPr>
              <w:t>政府采购专项法律服务</w:t>
            </w:r>
          </w:p>
          <w:p>
            <w:pPr>
              <w:spacing w:line="580" w:lineRule="exact"/>
              <w:rPr>
                <w:rFonts w:ascii="仿宋" w:hAnsi="仿宋" w:eastAsia="仿宋" w:cs="Times New Roman"/>
                <w:kern w:val="0"/>
                <w:sz w:val="32"/>
                <w:szCs w:val="32"/>
                <w:u w:val="none"/>
              </w:rPr>
            </w:pPr>
            <w:r>
              <w:rPr>
                <w:rFonts w:hint="eastAsia" w:ascii="仿宋" w:hAnsi="仿宋" w:eastAsia="仿宋" w:cs="Times New Roman"/>
                <w:kern w:val="0"/>
                <w:sz w:val="32"/>
                <w:szCs w:val="32"/>
                <w:u w:val="none"/>
              </w:rPr>
              <w:t>（单位：元/件）</w:t>
            </w:r>
          </w:p>
        </w:tc>
        <w:tc>
          <w:tcPr>
            <w:tcW w:w="3849" w:type="dxa"/>
            <w:tcBorders>
              <w:top w:val="single" w:color="auto" w:sz="4" w:space="0"/>
              <w:left w:val="nil"/>
              <w:right w:val="single" w:color="auto" w:sz="4" w:space="0"/>
            </w:tcBorders>
            <w:vAlign w:val="center"/>
          </w:tcPr>
          <w:p>
            <w:pPr>
              <w:spacing w:line="580" w:lineRule="exact"/>
              <w:ind w:firstLine="640" w:firstLineChars="200"/>
              <w:rPr>
                <w:rFonts w:ascii="仿宋_GB2312" w:hAnsi="Calibri" w:eastAsia="仿宋_GB2312" w:cs="Times New Roman"/>
                <w:color w:val="000000"/>
                <w:kern w:val="0"/>
                <w:sz w:val="32"/>
                <w:szCs w:val="32"/>
                <w:u w:val="none"/>
              </w:rPr>
            </w:pPr>
          </w:p>
          <w:p>
            <w:pPr>
              <w:spacing w:line="580" w:lineRule="exact"/>
              <w:ind w:firstLine="640" w:firstLineChars="200"/>
              <w:rPr>
                <w:rFonts w:ascii="仿宋_GB2312" w:hAnsi="Calibri" w:eastAsia="仿宋_GB2312" w:cs="Times New Roman"/>
                <w:color w:val="000000"/>
                <w:kern w:val="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79" w:type="dxa"/>
            <w:vMerge w:val="restart"/>
            <w:tcBorders>
              <w:top w:val="single" w:color="auto" w:sz="4" w:space="0"/>
              <w:left w:val="single" w:color="auto" w:sz="4" w:space="0"/>
              <w:right w:val="single" w:color="auto" w:sz="4" w:space="0"/>
            </w:tcBorders>
            <w:vAlign w:val="center"/>
          </w:tcPr>
          <w:p>
            <w:pPr>
              <w:spacing w:line="580" w:lineRule="exact"/>
              <w:ind w:firstLine="320" w:firstLineChars="100"/>
              <w:rPr>
                <w:rFonts w:ascii="仿宋_GB2312" w:hAnsi="Times New Roman" w:eastAsia="仿宋_GB2312" w:cs="Times New Roman"/>
                <w:color w:val="000000"/>
                <w:kern w:val="0"/>
                <w:sz w:val="32"/>
                <w:szCs w:val="32"/>
                <w:u w:val="none"/>
              </w:rPr>
            </w:pPr>
            <w:r>
              <w:rPr>
                <w:rFonts w:hint="eastAsia" w:ascii="仿宋_GB2312" w:hAnsi="Times New Roman" w:eastAsia="仿宋_GB2312" w:cs="Times New Roman"/>
                <w:color w:val="000000"/>
                <w:kern w:val="0"/>
                <w:sz w:val="32"/>
                <w:szCs w:val="32"/>
                <w:u w:val="none"/>
              </w:rPr>
              <w:t>3</w:t>
            </w:r>
          </w:p>
        </w:tc>
        <w:tc>
          <w:tcPr>
            <w:tcW w:w="1933" w:type="dxa"/>
            <w:vMerge w:val="restart"/>
            <w:tcBorders>
              <w:top w:val="single" w:color="auto" w:sz="4" w:space="0"/>
              <w:left w:val="nil"/>
              <w:right w:val="single" w:color="auto" w:sz="4" w:space="0"/>
            </w:tcBorders>
          </w:tcPr>
          <w:p>
            <w:pPr>
              <w:spacing w:line="580" w:lineRule="exact"/>
              <w:rPr>
                <w:rFonts w:ascii="仿宋" w:hAnsi="仿宋" w:eastAsia="仿宋" w:cs="Times New Roman"/>
                <w:kern w:val="0"/>
                <w:sz w:val="32"/>
                <w:szCs w:val="32"/>
                <w:u w:val="none"/>
              </w:rPr>
            </w:pPr>
            <w:r>
              <w:rPr>
                <w:rFonts w:hint="eastAsia" w:ascii="仿宋" w:hAnsi="仿宋" w:eastAsia="仿宋" w:cs="Times New Roman"/>
                <w:kern w:val="0"/>
                <w:sz w:val="32"/>
                <w:szCs w:val="32"/>
                <w:u w:val="none"/>
              </w:rPr>
              <w:t>法律诉讼服务（单位：元/件）</w:t>
            </w:r>
          </w:p>
        </w:tc>
        <w:tc>
          <w:tcPr>
            <w:tcW w:w="1611" w:type="dxa"/>
            <w:tcBorders>
              <w:top w:val="single" w:color="auto" w:sz="4" w:space="0"/>
              <w:left w:val="nil"/>
              <w:bottom w:val="single" w:color="auto" w:sz="4" w:space="0"/>
              <w:right w:val="single" w:color="auto" w:sz="4" w:space="0"/>
            </w:tcBorders>
            <w:vAlign w:val="center"/>
          </w:tcPr>
          <w:p>
            <w:pPr>
              <w:spacing w:line="580" w:lineRule="exact"/>
              <w:rPr>
                <w:rFonts w:ascii="仿宋" w:hAnsi="仿宋" w:eastAsia="仿宋" w:cs="Times New Roman"/>
                <w:kern w:val="0"/>
                <w:sz w:val="32"/>
                <w:szCs w:val="32"/>
                <w:u w:val="none"/>
              </w:rPr>
            </w:pPr>
            <w:r>
              <w:rPr>
                <w:rFonts w:hint="eastAsia" w:ascii="仿宋" w:hAnsi="仿宋" w:eastAsia="仿宋" w:cs="Times New Roman"/>
                <w:kern w:val="0"/>
                <w:sz w:val="32"/>
                <w:szCs w:val="32"/>
                <w:u w:val="none"/>
              </w:rPr>
              <w:t>一审案件</w:t>
            </w:r>
          </w:p>
        </w:tc>
        <w:tc>
          <w:tcPr>
            <w:tcW w:w="3849" w:type="dxa"/>
            <w:tcBorders>
              <w:top w:val="single" w:color="auto" w:sz="4" w:space="0"/>
              <w:left w:val="nil"/>
              <w:bottom w:val="single" w:color="auto" w:sz="4" w:space="0"/>
              <w:right w:val="single" w:color="auto" w:sz="4" w:space="0"/>
            </w:tcBorders>
            <w:vAlign w:val="center"/>
          </w:tcPr>
          <w:p>
            <w:pPr>
              <w:spacing w:line="580" w:lineRule="exact"/>
              <w:ind w:firstLine="640" w:firstLineChars="200"/>
              <w:rPr>
                <w:rFonts w:ascii="仿宋_GB2312" w:hAnsi="Calibri" w:eastAsia="仿宋_GB2312" w:cs="Times New Roman"/>
                <w:color w:val="000000"/>
                <w:kern w:val="0"/>
                <w:sz w:val="32"/>
                <w:szCs w:val="32"/>
                <w:u w:val="none"/>
              </w:rPr>
            </w:pPr>
          </w:p>
          <w:p>
            <w:pPr>
              <w:spacing w:line="580" w:lineRule="exact"/>
              <w:ind w:firstLine="640" w:firstLineChars="200"/>
              <w:rPr>
                <w:rFonts w:ascii="仿宋_GB2312" w:hAnsi="Calibri" w:eastAsia="仿宋_GB2312" w:cs="Times New Roman"/>
                <w:color w:val="000000"/>
                <w:kern w:val="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79" w:type="dxa"/>
            <w:vMerge w:val="continue"/>
            <w:tcBorders>
              <w:left w:val="single" w:color="auto" w:sz="4" w:space="0"/>
              <w:bottom w:val="single" w:color="auto" w:sz="4" w:space="0"/>
              <w:right w:val="single" w:color="auto" w:sz="4" w:space="0"/>
            </w:tcBorders>
            <w:vAlign w:val="center"/>
          </w:tcPr>
          <w:p>
            <w:pPr>
              <w:spacing w:line="580" w:lineRule="exact"/>
              <w:ind w:firstLine="320" w:firstLineChars="100"/>
              <w:rPr>
                <w:rFonts w:ascii="仿宋_GB2312" w:hAnsi="Times New Roman" w:eastAsia="仿宋_GB2312" w:cs="Times New Roman"/>
                <w:color w:val="000000"/>
                <w:kern w:val="0"/>
                <w:sz w:val="32"/>
                <w:szCs w:val="32"/>
                <w:u w:val="none"/>
              </w:rPr>
            </w:pPr>
          </w:p>
        </w:tc>
        <w:tc>
          <w:tcPr>
            <w:tcW w:w="1933" w:type="dxa"/>
            <w:vMerge w:val="continue"/>
            <w:tcBorders>
              <w:left w:val="nil"/>
              <w:bottom w:val="single" w:color="auto" w:sz="4" w:space="0"/>
              <w:right w:val="single" w:color="auto" w:sz="4" w:space="0"/>
            </w:tcBorders>
          </w:tcPr>
          <w:p>
            <w:pPr>
              <w:spacing w:line="580" w:lineRule="exact"/>
              <w:jc w:val="left"/>
              <w:rPr>
                <w:rFonts w:ascii="仿宋" w:hAnsi="仿宋" w:eastAsia="仿宋" w:cs="Times New Roman"/>
                <w:kern w:val="0"/>
                <w:sz w:val="32"/>
                <w:szCs w:val="32"/>
                <w:u w:val="none"/>
              </w:rPr>
            </w:pPr>
          </w:p>
        </w:tc>
        <w:tc>
          <w:tcPr>
            <w:tcW w:w="1611" w:type="dxa"/>
            <w:tcBorders>
              <w:top w:val="single" w:color="auto" w:sz="4" w:space="0"/>
              <w:left w:val="nil"/>
              <w:bottom w:val="single" w:color="auto" w:sz="4" w:space="0"/>
              <w:right w:val="single" w:color="auto" w:sz="4" w:space="0"/>
            </w:tcBorders>
            <w:vAlign w:val="center"/>
          </w:tcPr>
          <w:p>
            <w:pPr>
              <w:spacing w:line="580" w:lineRule="exact"/>
              <w:rPr>
                <w:rFonts w:ascii="仿宋" w:hAnsi="仿宋" w:eastAsia="仿宋" w:cs="Times New Roman"/>
                <w:kern w:val="0"/>
                <w:sz w:val="32"/>
                <w:szCs w:val="32"/>
                <w:u w:val="none"/>
              </w:rPr>
            </w:pPr>
            <w:r>
              <w:rPr>
                <w:rFonts w:hint="eastAsia" w:ascii="仿宋" w:hAnsi="仿宋" w:eastAsia="仿宋" w:cs="Times New Roman"/>
                <w:kern w:val="0"/>
                <w:sz w:val="32"/>
                <w:szCs w:val="32"/>
                <w:u w:val="none"/>
              </w:rPr>
              <w:t>二审(再审)案件</w:t>
            </w:r>
          </w:p>
        </w:tc>
        <w:tc>
          <w:tcPr>
            <w:tcW w:w="3849" w:type="dxa"/>
            <w:tcBorders>
              <w:top w:val="single" w:color="auto" w:sz="4" w:space="0"/>
              <w:left w:val="nil"/>
              <w:bottom w:val="single" w:color="auto" w:sz="4" w:space="0"/>
              <w:right w:val="single" w:color="auto" w:sz="4" w:space="0"/>
            </w:tcBorders>
            <w:vAlign w:val="center"/>
          </w:tcPr>
          <w:p>
            <w:pPr>
              <w:spacing w:line="580" w:lineRule="exact"/>
              <w:ind w:firstLine="640" w:firstLineChars="200"/>
              <w:rPr>
                <w:rFonts w:ascii="仿宋_GB2312" w:hAnsi="Calibri" w:eastAsia="仿宋_GB2312" w:cs="Times New Roman"/>
                <w:color w:val="000000"/>
                <w:kern w:val="0"/>
                <w:sz w:val="32"/>
                <w:szCs w:val="32"/>
                <w:u w:val="none"/>
              </w:rPr>
            </w:pPr>
          </w:p>
        </w:tc>
      </w:tr>
    </w:tbl>
    <w:p>
      <w:pPr>
        <w:spacing w:line="520" w:lineRule="exact"/>
        <w:ind w:firstLine="640" w:firstLineChars="200"/>
        <w:jc w:val="left"/>
        <w:rPr>
          <w:rFonts w:ascii="仿宋" w:hAnsi="仿宋" w:eastAsia="仿宋" w:cs="黑体"/>
          <w:sz w:val="32"/>
          <w:szCs w:val="32"/>
          <w:u w:val="none"/>
        </w:rPr>
      </w:pPr>
      <w:r>
        <w:rPr>
          <w:rFonts w:hint="eastAsia" w:ascii="仿宋" w:hAnsi="仿宋" w:eastAsia="仿宋" w:cs="黑体"/>
          <w:sz w:val="32"/>
          <w:szCs w:val="32"/>
          <w:u w:val="none"/>
        </w:rPr>
        <w:t>备注：满足采购文件要求且报价最低的有效响应的报价总价为基准价，其价格分为满分。其他有效响应的价格分按照下列公式计算：响应报价得分=（基准价÷报价总价）×10分</w:t>
      </w:r>
    </w:p>
    <w:p>
      <w:pPr>
        <w:spacing w:line="520" w:lineRule="exact"/>
        <w:ind w:firstLine="640" w:firstLineChars="200"/>
        <w:jc w:val="left"/>
        <w:rPr>
          <w:rFonts w:ascii="黑体" w:hAnsi="黑体" w:eastAsia="黑体" w:cs="仿宋"/>
          <w:sz w:val="32"/>
          <w:szCs w:val="32"/>
          <w:u w:val="none"/>
        </w:rPr>
      </w:pPr>
      <w:r>
        <w:rPr>
          <w:rFonts w:hint="eastAsia" w:ascii="黑体" w:hAnsi="黑体" w:eastAsia="黑体" w:cs="仿宋"/>
          <w:sz w:val="32"/>
          <w:szCs w:val="32"/>
          <w:u w:val="none"/>
        </w:rPr>
        <w:t>四、其他要求</w:t>
      </w:r>
    </w:p>
    <w:p>
      <w:pPr>
        <w:spacing w:line="520" w:lineRule="exact"/>
        <w:ind w:firstLine="640" w:firstLineChars="200"/>
        <w:jc w:val="left"/>
        <w:rPr>
          <w:rFonts w:ascii="黑体" w:hAnsi="黑体" w:eastAsia="黑体" w:cs="仿宋"/>
          <w:sz w:val="32"/>
          <w:szCs w:val="32"/>
          <w:u w:val="none"/>
        </w:rPr>
      </w:pPr>
      <w:r>
        <w:rPr>
          <w:rFonts w:hint="eastAsia" w:ascii="黑体" w:hAnsi="黑体" w:eastAsia="黑体" w:cs="仿宋"/>
          <w:sz w:val="32"/>
          <w:szCs w:val="32"/>
          <w:u w:val="none"/>
        </w:rPr>
        <w:t>（一）如本律师事务所在本项目中经评审得分排名第二，请勾选：</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   ）1.主动放弃成为成交候选供应商资格。遇此情形，同意泉州市财政局将由得分排名第三的律师事务所为递补成交候选供应商。以此类推。</w:t>
      </w:r>
    </w:p>
    <w:p>
      <w:pPr>
        <w:spacing w:line="520" w:lineRule="exact"/>
        <w:ind w:firstLine="640" w:firstLineChars="200"/>
        <w:jc w:val="left"/>
        <w:rPr>
          <w:rFonts w:ascii="仿宋" w:hAnsi="仿宋" w:eastAsia="仿宋" w:cs="仿宋"/>
          <w:sz w:val="32"/>
          <w:szCs w:val="32"/>
          <w:u w:val="none"/>
        </w:rPr>
      </w:pPr>
      <w:r>
        <w:rPr>
          <w:rFonts w:hint="eastAsia" w:ascii="仿宋" w:hAnsi="仿宋" w:eastAsia="仿宋" w:cs="仿宋"/>
          <w:sz w:val="32"/>
          <w:szCs w:val="32"/>
          <w:u w:val="none"/>
        </w:rPr>
        <w:t>（   ）2.愿意成为成交候选供应商。作为替补供应商，愿意在本项目采购结束后与泉州市财政局签订服务合同。替补服务内容包括政府采购专项法律服务、诉讼应诉代理服务，不包括常年法律顾问服务。有关案件服务费用标准按照本律师事务所上述针对本项目政府采购专项法律服务、诉讼应诉代理服务的报价执行。</w:t>
      </w:r>
    </w:p>
    <w:p>
      <w:pPr>
        <w:spacing w:line="520" w:lineRule="exact"/>
        <w:ind w:firstLine="640" w:firstLineChars="200"/>
        <w:jc w:val="left"/>
        <w:rPr>
          <w:rFonts w:ascii="黑体" w:hAnsi="黑体" w:eastAsia="黑体" w:cs="仿宋"/>
          <w:sz w:val="32"/>
          <w:szCs w:val="32"/>
          <w:u w:val="none"/>
        </w:rPr>
      </w:pPr>
      <w:r>
        <w:rPr>
          <w:rFonts w:hint="eastAsia" w:ascii="黑体" w:hAnsi="黑体" w:eastAsia="黑体" w:cs="仿宋"/>
          <w:sz w:val="32"/>
          <w:szCs w:val="32"/>
          <w:u w:val="none"/>
        </w:rPr>
        <w:t>（二）在本项目服务周期内，如被发现本律师事务所有提供虚假材料谋取成交、恶意串通投标等《中华人民共和国政府采购法》第七十七条第一款规定违法情形的，同意泉州市财政局将本律师事务所的成交结果依法认定无效，由成交候选供应商继续为泉州市财政局进行服务（包括常年法律顾问服务）。</w:t>
      </w:r>
    </w:p>
    <w:p>
      <w:pPr>
        <w:spacing w:line="520" w:lineRule="exact"/>
        <w:ind w:firstLine="640" w:firstLineChars="200"/>
        <w:jc w:val="left"/>
        <w:rPr>
          <w:rFonts w:ascii="仿宋" w:hAnsi="仿宋" w:eastAsia="仿宋" w:cs="仿宋"/>
          <w:sz w:val="32"/>
          <w:szCs w:val="32"/>
          <w:u w:val="none"/>
        </w:rPr>
      </w:pPr>
      <w:r>
        <w:rPr>
          <w:rFonts w:hint="eastAsia" w:ascii="黑体" w:hAnsi="黑体" w:eastAsia="黑体" w:cs="黑体"/>
          <w:sz w:val="32"/>
          <w:szCs w:val="32"/>
          <w:u w:val="none"/>
        </w:rPr>
        <w:t>（三）询价公告明确要求的承诺函逐一出具，</w:t>
      </w:r>
      <w:r>
        <w:rPr>
          <w:rFonts w:hint="eastAsia" w:ascii="仿宋" w:hAnsi="仿宋" w:eastAsia="仿宋" w:cs="仿宋"/>
          <w:sz w:val="32"/>
          <w:szCs w:val="32"/>
          <w:u w:val="none"/>
        </w:rPr>
        <w:t>见附件4。</w:t>
      </w: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left"/>
        <w:rPr>
          <w:rFonts w:ascii="仿宋" w:hAnsi="仿宋" w:eastAsia="仿宋" w:cs="仿宋"/>
          <w:sz w:val="32"/>
          <w:szCs w:val="32"/>
          <w:u w:val="none"/>
        </w:rPr>
      </w:pPr>
      <w:r>
        <w:rPr>
          <w:rFonts w:ascii="仿宋" w:hAnsi="仿宋" w:eastAsia="仿宋" w:cs="仿宋"/>
          <w:sz w:val="32"/>
          <w:szCs w:val="32"/>
          <w:u w:val="none"/>
        </w:rPr>
        <w:t>附件：1.</w:t>
      </w:r>
      <w:r>
        <w:rPr>
          <w:rFonts w:hint="eastAsia" w:ascii="仿宋" w:hAnsi="仿宋" w:eastAsia="仿宋" w:cs="仿宋"/>
          <w:sz w:val="32"/>
          <w:szCs w:val="32"/>
          <w:u w:val="none"/>
        </w:rPr>
        <w:t>律师事务所执业许可证</w:t>
      </w:r>
      <w:r>
        <w:rPr>
          <w:rFonts w:ascii="仿宋" w:hAnsi="仿宋" w:eastAsia="仿宋" w:cs="仿宋"/>
          <w:sz w:val="32"/>
          <w:szCs w:val="32"/>
          <w:u w:val="none"/>
        </w:rPr>
        <w:t>复印件</w:t>
      </w:r>
      <w:r>
        <w:rPr>
          <w:rFonts w:hint="eastAsia" w:ascii="仿宋" w:hAnsi="仿宋" w:eastAsia="仿宋" w:cs="仿宋"/>
          <w:sz w:val="32"/>
          <w:szCs w:val="32"/>
          <w:u w:val="none"/>
        </w:rPr>
        <w:t>（加盖单位公章）；</w:t>
      </w:r>
    </w:p>
    <w:p>
      <w:pPr>
        <w:spacing w:line="520" w:lineRule="exact"/>
        <w:ind w:left="1916" w:leftChars="760" w:hanging="320" w:hangingChars="100"/>
        <w:jc w:val="left"/>
        <w:rPr>
          <w:rFonts w:ascii="仿宋" w:hAnsi="仿宋" w:eastAsia="仿宋" w:cs="仿宋"/>
          <w:sz w:val="32"/>
          <w:szCs w:val="32"/>
          <w:u w:val="none"/>
        </w:rPr>
      </w:pPr>
      <w:r>
        <w:rPr>
          <w:rFonts w:hint="eastAsia" w:ascii="仿宋" w:hAnsi="仿宋" w:eastAsia="仿宋" w:cs="仿宋"/>
          <w:sz w:val="32"/>
          <w:szCs w:val="32"/>
          <w:u w:val="none"/>
        </w:rPr>
        <w:t>2.相关律师执业证复印件、具有法学本科、硕士或博士学位证书</w:t>
      </w:r>
      <w:r>
        <w:rPr>
          <w:rFonts w:ascii="仿宋" w:hAnsi="仿宋" w:eastAsia="仿宋" w:cs="仿宋"/>
          <w:sz w:val="32"/>
          <w:szCs w:val="32"/>
          <w:u w:val="none"/>
        </w:rPr>
        <w:t>复印件</w:t>
      </w:r>
      <w:r>
        <w:rPr>
          <w:rFonts w:hint="eastAsia" w:ascii="仿宋" w:hAnsi="仿宋" w:eastAsia="仿宋" w:cs="仿宋"/>
          <w:sz w:val="32"/>
          <w:szCs w:val="32"/>
          <w:u w:val="none"/>
        </w:rPr>
        <w:t>（加盖单位公章）</w:t>
      </w:r>
      <w:r>
        <w:rPr>
          <w:rFonts w:ascii="仿宋" w:hAnsi="仿宋" w:eastAsia="仿宋" w:cs="仿宋"/>
          <w:sz w:val="32"/>
          <w:szCs w:val="32"/>
          <w:u w:val="none"/>
        </w:rPr>
        <w:t>；</w:t>
      </w:r>
    </w:p>
    <w:p>
      <w:pPr>
        <w:spacing w:line="520" w:lineRule="exact"/>
        <w:ind w:left="1916" w:leftChars="760" w:hanging="320" w:hangingChars="100"/>
        <w:jc w:val="left"/>
        <w:rPr>
          <w:rFonts w:ascii="仿宋" w:hAnsi="仿宋" w:eastAsia="仿宋" w:cs="仿宋"/>
          <w:sz w:val="32"/>
          <w:szCs w:val="32"/>
          <w:u w:val="none"/>
        </w:rPr>
      </w:pPr>
      <w:r>
        <w:rPr>
          <w:rFonts w:hint="eastAsia" w:ascii="仿宋" w:hAnsi="仿宋" w:eastAsia="仿宋" w:cs="仿宋"/>
          <w:sz w:val="32"/>
          <w:szCs w:val="32"/>
          <w:u w:val="none"/>
        </w:rPr>
        <w:t>3.相关</w:t>
      </w:r>
      <w:r>
        <w:rPr>
          <w:rFonts w:hint="eastAsia" w:ascii="仿宋" w:hAnsi="仿宋" w:eastAsia="仿宋" w:cs="仿宋"/>
          <w:sz w:val="32"/>
          <w:szCs w:val="32"/>
          <w:u w:val="none"/>
          <w:lang w:eastAsia="zh-CN"/>
        </w:rPr>
        <w:t>服务</w:t>
      </w:r>
      <w:r>
        <w:rPr>
          <w:rFonts w:hint="eastAsia" w:ascii="仿宋" w:hAnsi="仿宋" w:eastAsia="仿宋" w:cs="仿宋"/>
          <w:sz w:val="32"/>
          <w:szCs w:val="32"/>
          <w:u w:val="none"/>
        </w:rPr>
        <w:t>要求响应情况材料（加盖单位公章）</w:t>
      </w:r>
      <w:r>
        <w:rPr>
          <w:rFonts w:ascii="仿宋" w:hAnsi="仿宋" w:eastAsia="仿宋" w:cs="仿宋"/>
          <w:sz w:val="32"/>
          <w:szCs w:val="32"/>
          <w:u w:val="none"/>
        </w:rPr>
        <w:t>；</w:t>
      </w:r>
    </w:p>
    <w:p>
      <w:pPr>
        <w:spacing w:line="520" w:lineRule="exact"/>
        <w:ind w:left="1916" w:leftChars="760" w:hanging="320" w:hangingChars="100"/>
        <w:jc w:val="left"/>
        <w:rPr>
          <w:rFonts w:ascii="仿宋" w:hAnsi="仿宋" w:eastAsia="仿宋" w:cs="仿宋"/>
          <w:sz w:val="32"/>
          <w:szCs w:val="32"/>
          <w:u w:val="none"/>
        </w:rPr>
      </w:pPr>
      <w:r>
        <w:rPr>
          <w:rFonts w:hint="eastAsia" w:ascii="仿宋" w:hAnsi="仿宋" w:eastAsia="仿宋" w:cs="仿宋"/>
          <w:sz w:val="32"/>
          <w:szCs w:val="32"/>
          <w:u w:val="none"/>
        </w:rPr>
        <w:t>4</w:t>
      </w:r>
      <w:r>
        <w:rPr>
          <w:rFonts w:ascii="仿宋" w:hAnsi="仿宋" w:eastAsia="仿宋" w:cs="仿宋"/>
          <w:sz w:val="32"/>
          <w:szCs w:val="32"/>
          <w:u w:val="none"/>
        </w:rPr>
        <w:t>.承诺函</w:t>
      </w:r>
      <w:r>
        <w:rPr>
          <w:rFonts w:hint="eastAsia" w:ascii="仿宋" w:hAnsi="仿宋" w:eastAsia="仿宋" w:cs="仿宋"/>
          <w:sz w:val="32"/>
          <w:szCs w:val="32"/>
          <w:u w:val="none"/>
        </w:rPr>
        <w:t>（原件，包括就提供《响应文件》及相关证件资料真实性的承诺函、询价公告明确要求的承诺函）</w:t>
      </w:r>
      <w:r>
        <w:rPr>
          <w:rFonts w:ascii="仿宋" w:hAnsi="仿宋" w:eastAsia="仿宋" w:cs="仿宋"/>
          <w:sz w:val="32"/>
          <w:szCs w:val="32"/>
          <w:u w:val="none"/>
        </w:rPr>
        <w:t>；</w:t>
      </w:r>
    </w:p>
    <w:p>
      <w:pPr>
        <w:spacing w:line="520" w:lineRule="exact"/>
        <w:ind w:firstLine="1600" w:firstLineChars="500"/>
        <w:jc w:val="left"/>
        <w:rPr>
          <w:rFonts w:ascii="仿宋" w:hAnsi="仿宋" w:eastAsia="仿宋" w:cs="仿宋"/>
          <w:sz w:val="32"/>
          <w:szCs w:val="32"/>
          <w:u w:val="none"/>
        </w:rPr>
      </w:pPr>
      <w:r>
        <w:rPr>
          <w:rFonts w:hint="eastAsia" w:ascii="仿宋" w:hAnsi="仿宋" w:eastAsia="仿宋" w:cs="仿宋"/>
          <w:sz w:val="32"/>
          <w:szCs w:val="32"/>
          <w:u w:val="none"/>
        </w:rPr>
        <w:t>5</w:t>
      </w:r>
      <w:r>
        <w:rPr>
          <w:rFonts w:ascii="仿宋" w:hAnsi="仿宋" w:eastAsia="仿宋" w:cs="仿宋"/>
          <w:sz w:val="32"/>
          <w:szCs w:val="32"/>
          <w:u w:val="none"/>
        </w:rPr>
        <w:t>.授权委托书（如有</w:t>
      </w:r>
      <w:r>
        <w:rPr>
          <w:rFonts w:hint="eastAsia" w:ascii="仿宋" w:hAnsi="仿宋" w:eastAsia="仿宋" w:cs="仿宋"/>
          <w:sz w:val="32"/>
          <w:szCs w:val="32"/>
          <w:u w:val="none"/>
        </w:rPr>
        <w:t>，原件</w:t>
      </w:r>
      <w:r>
        <w:rPr>
          <w:rFonts w:ascii="仿宋" w:hAnsi="仿宋" w:eastAsia="仿宋" w:cs="仿宋"/>
          <w:sz w:val="32"/>
          <w:szCs w:val="32"/>
          <w:u w:val="none"/>
        </w:rPr>
        <w:t>）。</w:t>
      </w:r>
    </w:p>
    <w:p>
      <w:pPr>
        <w:spacing w:line="520" w:lineRule="exact"/>
        <w:ind w:firstLine="640" w:firstLineChars="200"/>
        <w:jc w:val="left"/>
        <w:rPr>
          <w:rFonts w:ascii="仿宋" w:hAnsi="仿宋" w:eastAsia="仿宋" w:cs="仿宋"/>
          <w:sz w:val="32"/>
          <w:szCs w:val="32"/>
          <w:u w:val="none"/>
        </w:rPr>
      </w:pPr>
    </w:p>
    <w:p>
      <w:pPr>
        <w:spacing w:line="520" w:lineRule="exact"/>
        <w:ind w:firstLine="640" w:firstLineChars="200"/>
        <w:jc w:val="right"/>
        <w:rPr>
          <w:rFonts w:ascii="仿宋" w:hAnsi="仿宋" w:eastAsia="仿宋" w:cs="仿宋"/>
          <w:sz w:val="32"/>
          <w:szCs w:val="32"/>
          <w:u w:val="none"/>
        </w:rPr>
      </w:pPr>
      <w:r>
        <w:rPr>
          <w:rFonts w:ascii="仿宋" w:hAnsi="仿宋" w:eastAsia="仿宋" w:cs="仿宋"/>
          <w:sz w:val="32"/>
          <w:szCs w:val="32"/>
          <w:u w:val="none"/>
        </w:rPr>
        <w:t>××</w:t>
      </w:r>
      <w:r>
        <w:rPr>
          <w:rFonts w:hint="eastAsia" w:ascii="仿宋" w:hAnsi="仿宋" w:eastAsia="仿宋" w:cs="仿宋"/>
          <w:sz w:val="32"/>
          <w:szCs w:val="32"/>
          <w:u w:val="none"/>
        </w:rPr>
        <w:t>律师事务所</w:t>
      </w:r>
      <w:r>
        <w:rPr>
          <w:rFonts w:ascii="仿宋" w:hAnsi="仿宋" w:eastAsia="仿宋" w:cs="仿宋"/>
          <w:sz w:val="32"/>
          <w:szCs w:val="32"/>
          <w:u w:val="none"/>
        </w:rPr>
        <w:t>（加盖公章）</w:t>
      </w:r>
    </w:p>
    <w:p>
      <w:pPr>
        <w:spacing w:line="520" w:lineRule="exact"/>
        <w:ind w:firstLine="640" w:firstLineChars="200"/>
        <w:jc w:val="right"/>
        <w:rPr>
          <w:rFonts w:ascii="仿宋" w:hAnsi="仿宋" w:eastAsia="仿宋" w:cs="仿宋"/>
          <w:sz w:val="32"/>
          <w:szCs w:val="32"/>
          <w:u w:val="none"/>
        </w:rPr>
      </w:pPr>
    </w:p>
    <w:p>
      <w:pPr>
        <w:wordWrap w:val="0"/>
        <w:spacing w:line="520" w:lineRule="exact"/>
        <w:ind w:firstLine="640" w:firstLineChars="200"/>
        <w:jc w:val="right"/>
        <w:rPr>
          <w:rFonts w:ascii="仿宋" w:hAnsi="仿宋" w:eastAsia="仿宋" w:cs="仿宋"/>
          <w:sz w:val="32"/>
          <w:szCs w:val="32"/>
          <w:u w:val="none"/>
        </w:rPr>
      </w:pPr>
      <w:r>
        <w:rPr>
          <w:rFonts w:hint="eastAsia" w:ascii="仿宋" w:hAnsi="仿宋" w:eastAsia="仿宋" w:cs="仿宋"/>
          <w:sz w:val="32"/>
          <w:szCs w:val="32"/>
          <w:u w:val="none"/>
        </w:rPr>
        <w:t>律师事务所负责人</w:t>
      </w:r>
      <w:r>
        <w:rPr>
          <w:rFonts w:ascii="仿宋" w:hAnsi="仿宋" w:eastAsia="仿宋" w:cs="仿宋"/>
          <w:sz w:val="32"/>
          <w:szCs w:val="32"/>
          <w:u w:val="none"/>
        </w:rPr>
        <w:t>（签字）：</w:t>
      </w:r>
    </w:p>
    <w:p>
      <w:pPr>
        <w:spacing w:line="520" w:lineRule="exact"/>
        <w:ind w:firstLine="640" w:firstLineChars="200"/>
        <w:jc w:val="right"/>
        <w:rPr>
          <w:rFonts w:ascii="仿宋" w:hAnsi="仿宋" w:eastAsia="仿宋" w:cs="仿宋"/>
          <w:sz w:val="32"/>
          <w:szCs w:val="32"/>
          <w:u w:val="none"/>
        </w:rPr>
      </w:pPr>
    </w:p>
    <w:p>
      <w:pPr>
        <w:spacing w:line="520" w:lineRule="exact"/>
        <w:ind w:firstLine="640" w:firstLineChars="200"/>
        <w:jc w:val="right"/>
        <w:rPr>
          <w:rFonts w:ascii="楷体_GB2312" w:hAnsi="楷体_GB2312" w:eastAsia="楷体_GB2312" w:cs="楷体_GB2312"/>
          <w:sz w:val="32"/>
          <w:szCs w:val="32"/>
          <w:u w:val="none"/>
        </w:rPr>
      </w:pPr>
      <w:r>
        <w:rPr>
          <w:rFonts w:ascii="仿宋" w:hAnsi="仿宋" w:eastAsia="仿宋" w:cs="仿宋"/>
          <w:sz w:val="32"/>
          <w:szCs w:val="32"/>
          <w:u w:val="none"/>
        </w:rPr>
        <w:t>年   月   日</w:t>
      </w:r>
    </w:p>
    <w:p>
      <w:pPr>
        <w:rPr>
          <w:u w:val="none"/>
        </w:rPr>
      </w:pPr>
    </w:p>
    <w:sectPr>
      <w:footerReference r:id="rId3" w:type="default"/>
      <w:pgSz w:w="11906" w:h="16838"/>
      <w:pgMar w:top="1474" w:right="1474" w:bottom="147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E47A83"/>
    <w:rsid w:val="00113167"/>
    <w:rsid w:val="001E3D56"/>
    <w:rsid w:val="00257DBE"/>
    <w:rsid w:val="00353AEE"/>
    <w:rsid w:val="003D1489"/>
    <w:rsid w:val="006302DA"/>
    <w:rsid w:val="007C15EB"/>
    <w:rsid w:val="00851FD6"/>
    <w:rsid w:val="00865DFF"/>
    <w:rsid w:val="008B7098"/>
    <w:rsid w:val="0090382C"/>
    <w:rsid w:val="00930E58"/>
    <w:rsid w:val="00991E67"/>
    <w:rsid w:val="009E3E4C"/>
    <w:rsid w:val="00AF06B6"/>
    <w:rsid w:val="00B60666"/>
    <w:rsid w:val="00B9214C"/>
    <w:rsid w:val="00BA7003"/>
    <w:rsid w:val="00C061F1"/>
    <w:rsid w:val="00CA728E"/>
    <w:rsid w:val="00D442D9"/>
    <w:rsid w:val="00D76A62"/>
    <w:rsid w:val="00DC0BE8"/>
    <w:rsid w:val="00DE70CA"/>
    <w:rsid w:val="00E916A3"/>
    <w:rsid w:val="00EC5BA1"/>
    <w:rsid w:val="00F30E69"/>
    <w:rsid w:val="038E1435"/>
    <w:rsid w:val="0A730372"/>
    <w:rsid w:val="16840196"/>
    <w:rsid w:val="17320A76"/>
    <w:rsid w:val="18DA2C07"/>
    <w:rsid w:val="1BA64F62"/>
    <w:rsid w:val="1FC30FCA"/>
    <w:rsid w:val="21E632D2"/>
    <w:rsid w:val="26BB49D0"/>
    <w:rsid w:val="28F73958"/>
    <w:rsid w:val="2B280A98"/>
    <w:rsid w:val="30E6395B"/>
    <w:rsid w:val="35252F03"/>
    <w:rsid w:val="38397920"/>
    <w:rsid w:val="3B093685"/>
    <w:rsid w:val="468463D3"/>
    <w:rsid w:val="46C96A55"/>
    <w:rsid w:val="47950C69"/>
    <w:rsid w:val="489A1E8F"/>
    <w:rsid w:val="4BCF5B86"/>
    <w:rsid w:val="5CE47A83"/>
    <w:rsid w:val="5F7E0FF8"/>
    <w:rsid w:val="60C91242"/>
    <w:rsid w:val="6A9F658B"/>
    <w:rsid w:val="6E0A3C9D"/>
    <w:rsid w:val="6F1628E4"/>
    <w:rsid w:val="77C2626B"/>
    <w:rsid w:val="78602840"/>
    <w:rsid w:val="7A6564A7"/>
    <w:rsid w:val="7E754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781</Words>
  <Characters>4452</Characters>
  <Lines>37</Lines>
  <Paragraphs>10</Paragraphs>
  <TotalTime>14</TotalTime>
  <ScaleCrop>false</ScaleCrop>
  <LinksUpToDate>false</LinksUpToDate>
  <CharactersWithSpaces>5223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2024-12-20T01:51:00Z</dcterms:created>
  <dc:creator>苏丽萱</dc:creator>
  <cp:lastModifiedBy>苏丽萱</cp:lastModifiedBy>
  <cp:lastPrinted>2025-08-27T07:37:00Z</cp:lastPrinted>
  <dcterms:modified xsi:type="dcterms:W3CDTF">2025-09-05T03:02:16Z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